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A4EE69">
      <w:pPr>
        <w:keepNext w:val="0"/>
        <w:keepLines w:val="0"/>
        <w:pageBreakBefore w:val="0"/>
        <w:tabs>
          <w:tab w:val="left" w:pos="10440"/>
        </w:tabs>
        <w:kinsoku/>
        <w:wordWrap/>
        <w:overflowPunct/>
        <w:topLinePunct w:val="0"/>
        <w:autoSpaceDE/>
        <w:autoSpaceDN/>
        <w:bidi w:val="0"/>
        <w:adjustRightInd w:val="0"/>
        <w:snapToGrid/>
        <w:spacing w:line="288" w:lineRule="auto"/>
        <w:jc w:val="center"/>
        <w:textAlignment w:val="auto"/>
        <w:rPr>
          <w:rFonts w:ascii="宋体" w:hAnsi="宋体"/>
          <w:b/>
          <w:sz w:val="10"/>
          <w:szCs w:val="10"/>
        </w:rPr>
      </w:pPr>
    </w:p>
    <w:p w14:paraId="19C6CE46">
      <w:pPr>
        <w:keepNext w:val="0"/>
        <w:keepLines w:val="0"/>
        <w:pageBreakBefore w:val="0"/>
        <w:tabs>
          <w:tab w:val="center" w:pos="6860"/>
          <w:tab w:val="left" w:pos="9863"/>
          <w:tab w:val="left" w:pos="10440"/>
        </w:tabs>
        <w:kinsoku/>
        <w:wordWrap/>
        <w:overflowPunct/>
        <w:topLinePunct w:val="0"/>
        <w:autoSpaceDE/>
        <w:autoSpaceDN/>
        <w:bidi w:val="0"/>
        <w:adjustRightInd w:val="0"/>
        <w:snapToGrid/>
        <w:spacing w:line="288" w:lineRule="auto"/>
        <w:jc w:val="left"/>
        <w:textAlignment w:val="auto"/>
        <w:rPr>
          <w:rFonts w:ascii="宋体" w:hAnsi="宋体"/>
          <w:b/>
          <w:sz w:val="44"/>
          <w:szCs w:val="44"/>
        </w:rPr>
      </w:pPr>
      <w:r>
        <w:rPr>
          <w:rFonts w:ascii="宋体" w:hAnsi="宋体"/>
          <w:b/>
          <w:sz w:val="44"/>
          <w:szCs w:val="44"/>
        </w:rPr>
        <w:tab/>
      </w:r>
      <w:r>
        <w:rPr>
          <w:rFonts w:hint="eastAsia" w:ascii="宋体" w:hAnsi="宋体"/>
          <w:b/>
          <w:sz w:val="44"/>
          <w:szCs w:val="44"/>
        </w:rPr>
        <w:t>说  明  书</w:t>
      </w:r>
      <w:r>
        <w:rPr>
          <w:rFonts w:ascii="宋体" w:hAnsi="宋体"/>
          <w:b/>
          <w:sz w:val="44"/>
          <w:szCs w:val="44"/>
        </w:rPr>
        <w:tab/>
      </w:r>
    </w:p>
    <w:p w14:paraId="59B6F247">
      <w:pPr>
        <w:pStyle w:val="3"/>
        <w:keepNext w:val="0"/>
        <w:keepLines w:val="0"/>
        <w:pageBreakBefore w:val="0"/>
        <w:kinsoku/>
        <w:wordWrap/>
        <w:overflowPunct/>
        <w:topLinePunct w:val="0"/>
        <w:autoSpaceDE/>
        <w:autoSpaceDN/>
        <w:bidi w:val="0"/>
        <w:adjustRightInd w:val="0"/>
        <w:snapToGrid/>
        <w:spacing w:line="288" w:lineRule="auto"/>
        <w:textAlignment w:val="auto"/>
        <w:outlineLvl w:val="0"/>
        <w:rPr>
          <w:rFonts w:hAnsi="宋体" w:cs="宋体"/>
          <w:b/>
          <w:sz w:val="24"/>
          <w:szCs w:val="24"/>
        </w:rPr>
      </w:pPr>
      <w:r>
        <w:rPr>
          <w:rFonts w:hint="eastAsia" w:hAnsi="宋体" w:cs="宋体"/>
          <w:b/>
          <w:sz w:val="24"/>
          <w:szCs w:val="24"/>
        </w:rPr>
        <w:t>一、工程概况、设计依据及测设过程</w:t>
      </w:r>
    </w:p>
    <w:p w14:paraId="69B79691">
      <w:pPr>
        <w:pStyle w:val="3"/>
        <w:keepNext w:val="0"/>
        <w:keepLines w:val="0"/>
        <w:pageBreakBefore w:val="0"/>
        <w:tabs>
          <w:tab w:val="left" w:pos="8920"/>
        </w:tabs>
        <w:kinsoku/>
        <w:wordWrap/>
        <w:overflowPunct/>
        <w:topLinePunct w:val="0"/>
        <w:autoSpaceDE/>
        <w:autoSpaceDN/>
        <w:bidi w:val="0"/>
        <w:adjustRightInd w:val="0"/>
        <w:snapToGrid/>
        <w:spacing w:line="288" w:lineRule="auto"/>
        <w:ind w:firstLine="482" w:firstLineChars="200"/>
        <w:textAlignment w:val="auto"/>
        <w:outlineLvl w:val="0"/>
        <w:rPr>
          <w:rFonts w:hAnsi="宋体" w:cs="宋体"/>
          <w:b/>
          <w:sz w:val="24"/>
          <w:szCs w:val="24"/>
        </w:rPr>
      </w:pPr>
      <w:r>
        <w:rPr>
          <w:rFonts w:hint="eastAsia" w:hAnsi="宋体" w:cs="宋体"/>
          <w:b/>
          <w:sz w:val="24"/>
          <w:szCs w:val="24"/>
        </w:rPr>
        <w:t>1.1概述</w:t>
      </w:r>
    </w:p>
    <w:p w14:paraId="4C24E8E0">
      <w:pPr>
        <w:keepNext w:val="0"/>
        <w:keepLines w:val="0"/>
        <w:pageBreakBefore w:val="0"/>
        <w:kinsoku/>
        <w:wordWrap/>
        <w:overflowPunct/>
        <w:topLinePunct w:val="0"/>
        <w:autoSpaceDE/>
        <w:autoSpaceDN/>
        <w:bidi w:val="0"/>
        <w:adjustRightInd w:val="0"/>
        <w:snapToGrid/>
        <w:spacing w:line="288" w:lineRule="auto"/>
        <w:ind w:firstLine="496" w:firstLineChars="200"/>
        <w:jc w:val="left"/>
        <w:textAlignment w:val="auto"/>
        <w:rPr>
          <w:rFonts w:ascii="宋体" w:hAnsi="宋体" w:cs="宋体"/>
          <w:b/>
          <w:color w:val="000000"/>
          <w:sz w:val="24"/>
        </w:rPr>
      </w:pPr>
      <w:r>
        <w:rPr>
          <w:rFonts w:hint="eastAsia" w:ascii="宋体" w:hAnsi="宋体" w:cs="宋体"/>
          <w:spacing w:val="4"/>
          <w:sz w:val="24"/>
        </w:rPr>
        <w:t>为认真贯彻落实《国务院关于完善大中型水库移民后期扶持政策的意见》（国发［2006］17号），全面做好新时期移民工作，实现水库移民脱贫致富，促进库区和移民安置区经济社会发展。按照《吉林省大中型水库移民后期扶持政策实施方案》的要求，解决严重影响库区和移民安置区生产生活的交通和出行难的问题，</w:t>
      </w:r>
      <w:r>
        <w:rPr>
          <w:rFonts w:hint="eastAsia" w:ascii="宋体" w:hAnsi="宋体" w:cs="宋体"/>
          <w:color w:val="0000FF"/>
          <w:spacing w:val="4"/>
          <w:sz w:val="24"/>
        </w:rPr>
        <w:t>对</w:t>
      </w:r>
      <w:r>
        <w:rPr>
          <w:rFonts w:hint="eastAsia" w:ascii="宋体" w:hAnsi="宋体" w:cs="宋体"/>
          <w:color w:val="0000FF"/>
          <w:spacing w:val="4"/>
          <w:sz w:val="24"/>
          <w:lang w:eastAsia="zh-CN"/>
        </w:rPr>
        <w:t>长岭县种马场草站屯</w:t>
      </w:r>
      <w:r>
        <w:rPr>
          <w:rFonts w:hint="eastAsia" w:ascii="宋体" w:hAnsi="宋体" w:cs="宋体"/>
          <w:color w:val="0000FF"/>
          <w:spacing w:val="4"/>
          <w:sz w:val="24"/>
        </w:rPr>
        <w:t>水泥路进行维修改造。现有道路已使用多年，路基、路面等都出现不同程度的损坏，使用功能明显下降</w:t>
      </w:r>
      <w:r>
        <w:rPr>
          <w:rFonts w:hint="eastAsia" w:ascii="宋体" w:hAnsi="宋体" w:cs="宋体"/>
          <w:color w:val="0000FF"/>
          <w:spacing w:val="4"/>
          <w:sz w:val="24"/>
          <w:lang w:eastAsia="zh-CN"/>
        </w:rPr>
        <w:t>，</w:t>
      </w:r>
      <w:r>
        <w:rPr>
          <w:rFonts w:hint="eastAsia" w:ascii="宋体" w:hAnsi="宋体" w:cs="宋体"/>
          <w:color w:val="0000FF"/>
          <w:spacing w:val="4"/>
          <w:sz w:val="24"/>
        </w:rPr>
        <w:t>大部分路面破损严重，行车颠簸，因缺乏必要的管理和养护，路况较差，</w:t>
      </w:r>
      <w:r>
        <w:rPr>
          <w:rFonts w:hint="eastAsia" w:ascii="宋体" w:hAnsi="宋体" w:cs="宋体"/>
          <w:color w:val="auto"/>
          <w:sz w:val="24"/>
        </w:rPr>
        <w:t>部分路段出现磨损露骨、裂缝、破碎板等病害</w:t>
      </w:r>
      <w:r>
        <w:rPr>
          <w:rFonts w:hint="eastAsia" w:ascii="宋体" w:hAnsi="宋体" w:cs="宋体"/>
          <w:color w:val="auto"/>
          <w:sz w:val="24"/>
          <w:lang w:eastAsia="zh-CN"/>
        </w:rPr>
        <w:t>，</w:t>
      </w:r>
      <w:r>
        <w:rPr>
          <w:rFonts w:hint="eastAsia" w:ascii="宋体" w:hAnsi="宋体" w:cs="宋体"/>
          <w:color w:val="auto"/>
          <w:sz w:val="24"/>
          <w:lang w:val="en-US" w:eastAsia="zh-CN"/>
        </w:rPr>
        <w:t>旧路</w:t>
      </w:r>
      <w:r>
        <w:rPr>
          <w:rFonts w:hint="eastAsia" w:ascii="宋体" w:hAnsi="宋体" w:cs="宋体"/>
          <w:color w:val="auto"/>
          <w:sz w:val="24"/>
        </w:rPr>
        <w:t>评定结果</w:t>
      </w:r>
      <w:r>
        <w:rPr>
          <w:rFonts w:hint="eastAsia" w:ascii="宋体" w:hAnsi="宋体" w:cs="宋体"/>
          <w:color w:val="auto"/>
          <w:sz w:val="24"/>
          <w:lang w:val="en-US" w:eastAsia="zh-CN"/>
        </w:rPr>
        <w:t>为中，</w:t>
      </w:r>
      <w:r>
        <w:rPr>
          <w:rFonts w:hint="eastAsia" w:ascii="宋体" w:hAnsi="宋体" w:cs="宋体"/>
          <w:color w:val="auto"/>
          <w:sz w:val="24"/>
        </w:rPr>
        <w:t>现阶段已不能适应交通要求</w:t>
      </w:r>
      <w:r>
        <w:rPr>
          <w:rFonts w:hint="eastAsia" w:ascii="宋体" w:hAnsi="宋体" w:cs="宋体"/>
          <w:color w:val="0000FF"/>
          <w:spacing w:val="4"/>
          <w:sz w:val="24"/>
        </w:rPr>
        <w:t>，严重影响了沿线车辆、行人通行和货物运输。为增强其服务功能，改造养护是非常必要的。</w:t>
      </w:r>
      <w:r>
        <w:rPr>
          <w:rFonts w:hint="eastAsia" w:ascii="宋体" w:hAnsi="宋体" w:cs="宋体"/>
          <w:color w:val="0000FF"/>
          <w:spacing w:val="4"/>
          <w:sz w:val="24"/>
          <w:lang w:eastAsia="zh-CN"/>
        </w:rPr>
        <w:t>种马场</w:t>
      </w:r>
      <w:r>
        <w:rPr>
          <w:rFonts w:hint="eastAsia" w:ascii="宋体" w:hAnsi="宋体" w:cs="宋体"/>
          <w:color w:val="0000FF"/>
          <w:spacing w:val="4"/>
          <w:kern w:val="30"/>
          <w:sz w:val="24"/>
        </w:rPr>
        <w:t>总人口</w:t>
      </w:r>
      <w:r>
        <w:rPr>
          <w:rFonts w:hint="eastAsia" w:ascii="宋体" w:hAnsi="宋体"/>
          <w:color w:val="0000FF"/>
          <w:spacing w:val="4"/>
          <w:sz w:val="24"/>
          <w:highlight w:val="none"/>
          <w:lang w:val="en-US" w:eastAsia="zh-CN"/>
        </w:rPr>
        <w:t>3910</w:t>
      </w:r>
      <w:r>
        <w:rPr>
          <w:rFonts w:hint="eastAsia" w:ascii="宋体" w:hAnsi="宋体" w:cs="宋体"/>
          <w:color w:val="0000FF"/>
          <w:spacing w:val="4"/>
          <w:kern w:val="30"/>
          <w:sz w:val="24"/>
        </w:rPr>
        <w:t>人，其中移民人口</w:t>
      </w:r>
      <w:r>
        <w:rPr>
          <w:rFonts w:hint="eastAsia" w:ascii="宋体" w:hAnsi="宋体" w:cs="宋体"/>
          <w:color w:val="0000FF"/>
          <w:spacing w:val="4"/>
          <w:kern w:val="30"/>
          <w:sz w:val="24"/>
          <w:highlight w:val="none"/>
          <w:lang w:val="en-US" w:eastAsia="zh-CN"/>
        </w:rPr>
        <w:t>1574</w:t>
      </w:r>
      <w:r>
        <w:rPr>
          <w:rFonts w:hint="eastAsia" w:ascii="宋体" w:hAnsi="宋体" w:cs="宋体"/>
          <w:color w:val="0000FF"/>
          <w:spacing w:val="4"/>
          <w:kern w:val="30"/>
          <w:sz w:val="24"/>
        </w:rPr>
        <w:t>人</w:t>
      </w:r>
      <w:r>
        <w:rPr>
          <w:rFonts w:hint="eastAsia" w:ascii="宋体" w:hAnsi="宋体" w:cs="宋体"/>
          <w:spacing w:val="4"/>
          <w:sz w:val="24"/>
        </w:rPr>
        <w:t>。</w:t>
      </w:r>
    </w:p>
    <w:p w14:paraId="30938B5D">
      <w:pPr>
        <w:pStyle w:val="3"/>
        <w:keepNext w:val="0"/>
        <w:keepLines w:val="0"/>
        <w:pageBreakBefore w:val="0"/>
        <w:kinsoku/>
        <w:wordWrap/>
        <w:overflowPunct/>
        <w:topLinePunct w:val="0"/>
        <w:autoSpaceDE/>
        <w:autoSpaceDN/>
        <w:bidi w:val="0"/>
        <w:adjustRightInd w:val="0"/>
        <w:snapToGrid/>
        <w:spacing w:line="288" w:lineRule="auto"/>
        <w:ind w:firstLine="482" w:firstLineChars="200"/>
        <w:textAlignment w:val="auto"/>
        <w:outlineLvl w:val="0"/>
        <w:rPr>
          <w:rFonts w:hAnsi="宋体" w:cs="宋体"/>
          <w:b/>
          <w:sz w:val="24"/>
          <w:szCs w:val="24"/>
        </w:rPr>
      </w:pPr>
      <w:r>
        <w:rPr>
          <w:rFonts w:hint="eastAsia" w:hAnsi="宋体" w:cs="宋体"/>
          <w:b/>
          <w:sz w:val="24"/>
          <w:szCs w:val="24"/>
        </w:rPr>
        <w:t>1.2设计任务依据</w:t>
      </w:r>
    </w:p>
    <w:p w14:paraId="2FF74ED9">
      <w:pPr>
        <w:pStyle w:val="3"/>
        <w:keepNext w:val="0"/>
        <w:keepLines w:val="0"/>
        <w:pageBreakBefore w:val="0"/>
        <w:kinsoku/>
        <w:wordWrap/>
        <w:overflowPunct/>
        <w:topLinePunct w:val="0"/>
        <w:autoSpaceDE/>
        <w:autoSpaceDN/>
        <w:bidi w:val="0"/>
        <w:adjustRightInd w:val="0"/>
        <w:snapToGrid/>
        <w:spacing w:line="288" w:lineRule="auto"/>
        <w:ind w:firstLine="480" w:firstLineChars="200"/>
        <w:textAlignment w:val="auto"/>
        <w:outlineLvl w:val="0"/>
        <w:rPr>
          <w:rFonts w:hAnsi="宋体" w:cs="宋体"/>
          <w:sz w:val="24"/>
          <w:szCs w:val="24"/>
        </w:rPr>
      </w:pPr>
      <w:r>
        <w:rPr>
          <w:rFonts w:hint="eastAsia" w:hAnsi="宋体" w:cs="宋体"/>
          <w:sz w:val="24"/>
          <w:szCs w:val="24"/>
        </w:rPr>
        <w:t>受</w:t>
      </w:r>
      <w:r>
        <w:rPr>
          <w:rFonts w:hint="eastAsia" w:hAnsi="宋体" w:cs="宋体"/>
          <w:color w:val="0000FF"/>
          <w:sz w:val="24"/>
          <w:szCs w:val="24"/>
          <w:lang w:eastAsia="zh-CN"/>
        </w:rPr>
        <w:t>长岭县</w:t>
      </w:r>
      <w:r>
        <w:rPr>
          <w:rFonts w:hint="eastAsia" w:hAnsi="宋体" w:cs="宋体"/>
          <w:color w:val="0000FF"/>
          <w:sz w:val="24"/>
          <w:szCs w:val="24"/>
        </w:rPr>
        <w:t>水库移民办公室</w:t>
      </w:r>
      <w:r>
        <w:rPr>
          <w:rFonts w:hint="eastAsia" w:hAnsi="宋体" w:cs="宋体"/>
          <w:sz w:val="24"/>
          <w:szCs w:val="24"/>
        </w:rPr>
        <w:t>的委托，我公司对</w:t>
      </w:r>
      <w:r>
        <w:rPr>
          <w:rFonts w:hint="eastAsia" w:hAnsi="宋体" w:cs="宋体"/>
          <w:color w:val="0000FF"/>
          <w:spacing w:val="4"/>
          <w:sz w:val="24"/>
          <w:szCs w:val="24"/>
          <w:lang w:eastAsia="zh-CN"/>
        </w:rPr>
        <w:t>长岭县种马场草站屯水泥路维修改造工程</w:t>
      </w:r>
      <w:r>
        <w:rPr>
          <w:rFonts w:hint="eastAsia" w:hAnsi="宋体" w:cs="宋体"/>
          <w:sz w:val="24"/>
          <w:szCs w:val="24"/>
        </w:rPr>
        <w:t>进行了勘察设计。</w:t>
      </w:r>
      <w:r>
        <w:rPr>
          <w:rFonts w:hint="eastAsia" w:hAnsi="宋体"/>
          <w:spacing w:val="4"/>
          <w:kern w:val="30"/>
          <w:sz w:val="24"/>
          <w:szCs w:val="24"/>
        </w:rPr>
        <w:t>本工程遵照下列标准、规范进行勘察、设计：</w:t>
      </w:r>
    </w:p>
    <w:p w14:paraId="6D811CD0">
      <w:pPr>
        <w:keepNext w:val="0"/>
        <w:keepLines w:val="0"/>
        <w:pageBreakBefore w:val="0"/>
        <w:kinsoku/>
        <w:wordWrap/>
        <w:overflowPunct/>
        <w:topLinePunct w:val="0"/>
        <w:autoSpaceDE/>
        <w:autoSpaceDN/>
        <w:bidi w:val="0"/>
        <w:adjustRightInd w:val="0"/>
        <w:snapToGrid/>
        <w:spacing w:line="288" w:lineRule="auto"/>
        <w:ind w:left="567" w:leftChars="270"/>
        <w:textAlignment w:val="auto"/>
        <w:rPr>
          <w:rFonts w:ascii="宋体" w:hAnsi="宋体" w:cs="宋体"/>
          <w:sz w:val="24"/>
        </w:rPr>
      </w:pPr>
      <w:r>
        <w:rPr>
          <w:rFonts w:hint="eastAsia" w:ascii="宋体" w:hAnsi="宋体" w:cs="宋体"/>
          <w:sz w:val="24"/>
        </w:rPr>
        <w:t>(01)交通部《公路工程技术标准》（JTG B01-2014）；</w:t>
      </w:r>
    </w:p>
    <w:p w14:paraId="029B0AFB">
      <w:pPr>
        <w:keepNext w:val="0"/>
        <w:keepLines w:val="0"/>
        <w:pageBreakBefore w:val="0"/>
        <w:kinsoku/>
        <w:wordWrap/>
        <w:overflowPunct/>
        <w:topLinePunct w:val="0"/>
        <w:autoSpaceDE/>
        <w:autoSpaceDN/>
        <w:bidi w:val="0"/>
        <w:adjustRightInd w:val="0"/>
        <w:snapToGrid/>
        <w:spacing w:line="288" w:lineRule="auto"/>
        <w:ind w:left="567" w:leftChars="270"/>
        <w:textAlignment w:val="auto"/>
        <w:rPr>
          <w:rFonts w:ascii="宋体" w:hAnsi="宋体" w:cs="宋体"/>
          <w:sz w:val="24"/>
        </w:rPr>
      </w:pPr>
      <w:r>
        <w:rPr>
          <w:rFonts w:hint="eastAsia" w:ascii="宋体" w:hAnsi="宋体" w:cs="宋体"/>
          <w:sz w:val="24"/>
        </w:rPr>
        <w:t>(0</w:t>
      </w:r>
      <w:r>
        <w:rPr>
          <w:rFonts w:ascii="宋体" w:hAnsi="宋体" w:cs="宋体"/>
          <w:sz w:val="24"/>
        </w:rPr>
        <w:t>2</w:t>
      </w:r>
      <w:r>
        <w:rPr>
          <w:rFonts w:hint="eastAsia" w:ascii="宋体" w:hAnsi="宋体" w:cs="宋体"/>
          <w:sz w:val="24"/>
        </w:rPr>
        <w:t>)交通部《公路路线设计规范》（JTG D20-2017）；</w:t>
      </w:r>
    </w:p>
    <w:p w14:paraId="1F869E5C">
      <w:pPr>
        <w:keepNext w:val="0"/>
        <w:keepLines w:val="0"/>
        <w:pageBreakBefore w:val="0"/>
        <w:kinsoku/>
        <w:wordWrap/>
        <w:overflowPunct/>
        <w:topLinePunct w:val="0"/>
        <w:autoSpaceDE/>
        <w:autoSpaceDN/>
        <w:bidi w:val="0"/>
        <w:adjustRightInd w:val="0"/>
        <w:snapToGrid/>
        <w:spacing w:line="288" w:lineRule="auto"/>
        <w:ind w:left="567" w:leftChars="270"/>
        <w:textAlignment w:val="auto"/>
        <w:rPr>
          <w:rFonts w:ascii="宋体" w:hAnsi="宋体" w:cs="宋体"/>
          <w:sz w:val="24"/>
        </w:rPr>
      </w:pPr>
      <w:r>
        <w:rPr>
          <w:rFonts w:hint="eastAsia" w:ascii="宋体" w:hAnsi="宋体" w:cs="宋体"/>
          <w:sz w:val="24"/>
        </w:rPr>
        <w:t>(0</w:t>
      </w:r>
      <w:r>
        <w:rPr>
          <w:rFonts w:ascii="宋体" w:hAnsi="宋体" w:cs="宋体"/>
          <w:sz w:val="24"/>
        </w:rPr>
        <w:t>3</w:t>
      </w:r>
      <w:r>
        <w:rPr>
          <w:rFonts w:hint="eastAsia" w:ascii="宋体" w:hAnsi="宋体" w:cs="宋体"/>
          <w:sz w:val="24"/>
        </w:rPr>
        <w:t>)交通部《公路养护技术规范》（JTG H10-2009）；</w:t>
      </w:r>
    </w:p>
    <w:p w14:paraId="47BAF955">
      <w:pPr>
        <w:keepNext w:val="0"/>
        <w:keepLines w:val="0"/>
        <w:pageBreakBefore w:val="0"/>
        <w:kinsoku/>
        <w:wordWrap/>
        <w:overflowPunct/>
        <w:topLinePunct w:val="0"/>
        <w:autoSpaceDE/>
        <w:autoSpaceDN/>
        <w:bidi w:val="0"/>
        <w:adjustRightInd w:val="0"/>
        <w:snapToGrid/>
        <w:spacing w:line="288" w:lineRule="auto"/>
        <w:ind w:left="567" w:leftChars="270"/>
        <w:textAlignment w:val="auto"/>
        <w:rPr>
          <w:rFonts w:ascii="宋体" w:hAnsi="宋体" w:cs="宋体"/>
          <w:sz w:val="24"/>
        </w:rPr>
      </w:pPr>
      <w:r>
        <w:rPr>
          <w:rFonts w:hint="eastAsia" w:ascii="宋体" w:hAnsi="宋体" w:cs="宋体"/>
          <w:sz w:val="24"/>
        </w:rPr>
        <w:t>(0</w:t>
      </w:r>
      <w:r>
        <w:rPr>
          <w:rFonts w:ascii="宋体" w:hAnsi="宋体" w:cs="宋体"/>
          <w:sz w:val="24"/>
        </w:rPr>
        <w:t>4</w:t>
      </w:r>
      <w:r>
        <w:rPr>
          <w:rFonts w:hint="eastAsia" w:ascii="宋体" w:hAnsi="宋体" w:cs="宋体"/>
          <w:sz w:val="24"/>
        </w:rPr>
        <w:t xml:space="preserve">)交通部《公路工程水文勘测设计规范》(JTG </w:t>
      </w:r>
      <w:r>
        <w:rPr>
          <w:rFonts w:ascii="宋体" w:hAnsi="宋体" w:cs="宋体"/>
          <w:sz w:val="24"/>
        </w:rPr>
        <w:t>C30</w:t>
      </w:r>
      <w:r>
        <w:rPr>
          <w:rFonts w:hint="eastAsia" w:ascii="宋体" w:hAnsi="宋体" w:cs="宋体"/>
          <w:sz w:val="24"/>
        </w:rPr>
        <w:t>-201</w:t>
      </w:r>
      <w:r>
        <w:rPr>
          <w:rFonts w:ascii="宋体" w:hAnsi="宋体" w:cs="宋体"/>
          <w:sz w:val="24"/>
        </w:rPr>
        <w:t>5)</w:t>
      </w:r>
      <w:r>
        <w:rPr>
          <w:rFonts w:hint="eastAsia" w:ascii="宋体" w:hAnsi="宋体" w:cs="宋体"/>
          <w:sz w:val="24"/>
        </w:rPr>
        <w:t>；</w:t>
      </w:r>
    </w:p>
    <w:p w14:paraId="0C4BCE9C">
      <w:pPr>
        <w:keepNext w:val="0"/>
        <w:keepLines w:val="0"/>
        <w:pageBreakBefore w:val="0"/>
        <w:tabs>
          <w:tab w:val="left" w:pos="988"/>
        </w:tabs>
        <w:kinsoku/>
        <w:wordWrap/>
        <w:overflowPunct/>
        <w:topLinePunct w:val="0"/>
        <w:autoSpaceDE/>
        <w:autoSpaceDN/>
        <w:bidi w:val="0"/>
        <w:adjustRightInd w:val="0"/>
        <w:snapToGrid/>
        <w:spacing w:line="288" w:lineRule="auto"/>
        <w:ind w:left="567" w:leftChars="270"/>
        <w:textAlignment w:val="auto"/>
        <w:rPr>
          <w:rFonts w:ascii="宋体" w:hAnsi="宋体" w:cs="宋体"/>
          <w:sz w:val="24"/>
        </w:rPr>
      </w:pPr>
      <w:r>
        <w:rPr>
          <w:rFonts w:hint="eastAsia" w:ascii="宋体" w:hAnsi="宋体" w:cs="宋体"/>
          <w:sz w:val="24"/>
        </w:rPr>
        <w:t>(0</w:t>
      </w:r>
      <w:r>
        <w:rPr>
          <w:rFonts w:ascii="宋体" w:hAnsi="宋体" w:cs="宋体"/>
          <w:sz w:val="24"/>
        </w:rPr>
        <w:t>5</w:t>
      </w:r>
      <w:r>
        <w:rPr>
          <w:rFonts w:hint="eastAsia" w:ascii="宋体" w:hAnsi="宋体" w:cs="宋体"/>
          <w:sz w:val="24"/>
        </w:rPr>
        <w:t>)交通部《公路水泥混凝土路面设计规范》（JTG D40-2011）；</w:t>
      </w:r>
    </w:p>
    <w:p w14:paraId="5E80866F">
      <w:pPr>
        <w:keepNext w:val="0"/>
        <w:keepLines w:val="0"/>
        <w:pageBreakBefore w:val="0"/>
        <w:tabs>
          <w:tab w:val="left" w:pos="988"/>
        </w:tabs>
        <w:kinsoku/>
        <w:wordWrap/>
        <w:overflowPunct/>
        <w:topLinePunct w:val="0"/>
        <w:autoSpaceDE/>
        <w:autoSpaceDN/>
        <w:bidi w:val="0"/>
        <w:adjustRightInd w:val="0"/>
        <w:snapToGrid/>
        <w:spacing w:line="288" w:lineRule="auto"/>
        <w:ind w:left="567" w:leftChars="270"/>
        <w:textAlignment w:val="auto"/>
        <w:rPr>
          <w:rFonts w:ascii="宋体" w:hAnsi="宋体" w:cs="宋体"/>
          <w:sz w:val="24"/>
        </w:rPr>
      </w:pPr>
      <w:r>
        <w:rPr>
          <w:rFonts w:hint="eastAsia" w:ascii="宋体" w:hAnsi="宋体" w:cs="宋体"/>
          <w:sz w:val="24"/>
        </w:rPr>
        <w:t>(0</w:t>
      </w:r>
      <w:r>
        <w:rPr>
          <w:rFonts w:ascii="宋体" w:hAnsi="宋体" w:cs="宋体"/>
          <w:sz w:val="24"/>
        </w:rPr>
        <w:t>6</w:t>
      </w:r>
      <w:r>
        <w:rPr>
          <w:rFonts w:hint="eastAsia" w:ascii="宋体" w:hAnsi="宋体" w:cs="宋体"/>
          <w:sz w:val="24"/>
        </w:rPr>
        <w:t>)交通部《公路水泥混凝土路面施工技术细则》（JTG/TF30-2014）；</w:t>
      </w:r>
    </w:p>
    <w:p w14:paraId="5712FE99">
      <w:pPr>
        <w:keepNext w:val="0"/>
        <w:keepLines w:val="0"/>
        <w:pageBreakBefore w:val="0"/>
        <w:tabs>
          <w:tab w:val="left" w:pos="988"/>
        </w:tabs>
        <w:kinsoku/>
        <w:wordWrap/>
        <w:overflowPunct/>
        <w:topLinePunct w:val="0"/>
        <w:autoSpaceDE/>
        <w:autoSpaceDN/>
        <w:bidi w:val="0"/>
        <w:adjustRightInd w:val="0"/>
        <w:snapToGrid/>
        <w:spacing w:line="288" w:lineRule="auto"/>
        <w:ind w:left="567" w:leftChars="270"/>
        <w:textAlignment w:val="auto"/>
        <w:rPr>
          <w:rFonts w:ascii="宋体" w:hAnsi="宋体" w:cs="宋体"/>
          <w:sz w:val="24"/>
        </w:rPr>
      </w:pPr>
      <w:r>
        <w:rPr>
          <w:rFonts w:hint="eastAsia" w:ascii="宋体" w:hAnsi="宋体" w:cs="宋体"/>
          <w:sz w:val="24"/>
        </w:rPr>
        <w:t>(0</w:t>
      </w:r>
      <w:r>
        <w:rPr>
          <w:rFonts w:ascii="宋体" w:hAnsi="宋体" w:cs="宋体"/>
          <w:sz w:val="24"/>
        </w:rPr>
        <w:t>7</w:t>
      </w:r>
      <w:r>
        <w:rPr>
          <w:rFonts w:hint="eastAsia" w:ascii="宋体" w:hAnsi="宋体" w:cs="宋体"/>
          <w:sz w:val="24"/>
        </w:rPr>
        <w:t>)交通部《公路沥青路面设计规范》(JTGD50-2017)；</w:t>
      </w:r>
    </w:p>
    <w:p w14:paraId="29FB49CC">
      <w:pPr>
        <w:keepNext w:val="0"/>
        <w:keepLines w:val="0"/>
        <w:pageBreakBefore w:val="0"/>
        <w:tabs>
          <w:tab w:val="left" w:pos="988"/>
        </w:tabs>
        <w:kinsoku/>
        <w:wordWrap/>
        <w:overflowPunct/>
        <w:topLinePunct w:val="0"/>
        <w:autoSpaceDE/>
        <w:autoSpaceDN/>
        <w:bidi w:val="0"/>
        <w:adjustRightInd w:val="0"/>
        <w:snapToGrid/>
        <w:spacing w:line="288" w:lineRule="auto"/>
        <w:ind w:left="567" w:leftChars="270"/>
        <w:textAlignment w:val="auto"/>
        <w:rPr>
          <w:rFonts w:ascii="宋体" w:hAnsi="宋体" w:cs="宋体"/>
          <w:sz w:val="24"/>
        </w:rPr>
      </w:pPr>
      <w:r>
        <w:rPr>
          <w:rFonts w:hint="eastAsia" w:ascii="宋体" w:hAnsi="宋体" w:cs="宋体"/>
          <w:sz w:val="24"/>
        </w:rPr>
        <w:t>(0</w:t>
      </w:r>
      <w:r>
        <w:rPr>
          <w:rFonts w:ascii="宋体" w:hAnsi="宋体" w:cs="宋体"/>
          <w:sz w:val="24"/>
        </w:rPr>
        <w:t>8</w:t>
      </w:r>
      <w:r>
        <w:rPr>
          <w:rFonts w:hint="eastAsia" w:ascii="宋体" w:hAnsi="宋体" w:cs="宋体"/>
          <w:sz w:val="24"/>
        </w:rPr>
        <w:t>)交通部《公路沥青路面施工技术规范》（JTG F40-2017）；</w:t>
      </w:r>
    </w:p>
    <w:p w14:paraId="72372984">
      <w:pPr>
        <w:keepNext w:val="0"/>
        <w:keepLines w:val="0"/>
        <w:pageBreakBefore w:val="0"/>
        <w:tabs>
          <w:tab w:val="left" w:pos="988"/>
        </w:tabs>
        <w:kinsoku/>
        <w:wordWrap/>
        <w:overflowPunct/>
        <w:topLinePunct w:val="0"/>
        <w:autoSpaceDE/>
        <w:autoSpaceDN/>
        <w:bidi w:val="0"/>
        <w:adjustRightInd w:val="0"/>
        <w:snapToGrid/>
        <w:spacing w:line="288" w:lineRule="auto"/>
        <w:ind w:left="567" w:leftChars="270"/>
        <w:textAlignment w:val="auto"/>
        <w:rPr>
          <w:rFonts w:ascii="宋体" w:hAnsi="宋体" w:cs="宋体"/>
          <w:sz w:val="24"/>
        </w:rPr>
      </w:pPr>
      <w:r>
        <w:rPr>
          <w:rFonts w:hint="eastAsia" w:ascii="宋体" w:hAnsi="宋体" w:cs="宋体"/>
          <w:sz w:val="24"/>
        </w:rPr>
        <w:t>(0</w:t>
      </w:r>
      <w:r>
        <w:rPr>
          <w:rFonts w:ascii="宋体" w:hAnsi="宋体" w:cs="宋体"/>
          <w:sz w:val="24"/>
        </w:rPr>
        <w:t>9</w:t>
      </w:r>
      <w:r>
        <w:rPr>
          <w:rFonts w:hint="eastAsia" w:ascii="宋体" w:hAnsi="宋体" w:cs="宋体"/>
          <w:sz w:val="24"/>
        </w:rPr>
        <w:t>)交通部《公路路面基层施工技术细则》（JTG/TF20-2015）；</w:t>
      </w:r>
    </w:p>
    <w:p w14:paraId="482223CA">
      <w:pPr>
        <w:keepNext w:val="0"/>
        <w:keepLines w:val="0"/>
        <w:pageBreakBefore w:val="0"/>
        <w:tabs>
          <w:tab w:val="left" w:pos="988"/>
        </w:tabs>
        <w:kinsoku/>
        <w:wordWrap/>
        <w:overflowPunct/>
        <w:topLinePunct w:val="0"/>
        <w:autoSpaceDE/>
        <w:autoSpaceDN/>
        <w:bidi w:val="0"/>
        <w:adjustRightInd w:val="0"/>
        <w:snapToGrid/>
        <w:spacing w:line="288" w:lineRule="auto"/>
        <w:ind w:left="567" w:leftChars="270"/>
        <w:textAlignment w:val="auto"/>
        <w:rPr>
          <w:rFonts w:ascii="宋体" w:hAnsi="宋体" w:cs="宋体"/>
          <w:sz w:val="24"/>
        </w:rPr>
      </w:pPr>
      <w:r>
        <w:rPr>
          <w:rFonts w:hint="eastAsia" w:ascii="宋体" w:hAnsi="宋体" w:cs="宋体"/>
          <w:sz w:val="24"/>
        </w:rPr>
        <w:t>(</w:t>
      </w:r>
      <w:r>
        <w:rPr>
          <w:rFonts w:ascii="宋体" w:hAnsi="宋体" w:cs="宋体"/>
          <w:sz w:val="24"/>
        </w:rPr>
        <w:t>10</w:t>
      </w:r>
      <w:r>
        <w:rPr>
          <w:rFonts w:hint="eastAsia" w:ascii="宋体" w:hAnsi="宋体" w:cs="宋体"/>
          <w:sz w:val="24"/>
        </w:rPr>
        <w:t>)交通部《公路路基设计规范》（JTGD30-2015）</w:t>
      </w:r>
    </w:p>
    <w:p w14:paraId="63B79D05">
      <w:pPr>
        <w:keepNext w:val="0"/>
        <w:keepLines w:val="0"/>
        <w:pageBreakBefore w:val="0"/>
        <w:tabs>
          <w:tab w:val="left" w:pos="988"/>
        </w:tabs>
        <w:kinsoku/>
        <w:wordWrap/>
        <w:overflowPunct/>
        <w:topLinePunct w:val="0"/>
        <w:autoSpaceDE/>
        <w:autoSpaceDN/>
        <w:bidi w:val="0"/>
        <w:adjustRightInd w:val="0"/>
        <w:snapToGrid/>
        <w:spacing w:line="288" w:lineRule="auto"/>
        <w:ind w:left="567" w:leftChars="270"/>
        <w:textAlignment w:val="auto"/>
        <w:rPr>
          <w:rFonts w:ascii="宋体" w:hAnsi="宋体" w:cs="宋体"/>
          <w:sz w:val="24"/>
        </w:rPr>
      </w:pPr>
      <w:r>
        <w:rPr>
          <w:rFonts w:hint="eastAsia" w:ascii="宋体" w:hAnsi="宋体" w:cs="宋体"/>
          <w:sz w:val="24"/>
        </w:rPr>
        <w:t>(</w:t>
      </w:r>
      <w:r>
        <w:rPr>
          <w:rFonts w:ascii="宋体" w:hAnsi="宋体" w:cs="宋体"/>
          <w:sz w:val="24"/>
        </w:rPr>
        <w:t>1</w:t>
      </w:r>
      <w:r>
        <w:rPr>
          <w:rFonts w:hint="eastAsia" w:ascii="宋体" w:hAnsi="宋体" w:cs="宋体"/>
          <w:sz w:val="24"/>
          <w:lang w:val="en-US" w:eastAsia="zh-CN"/>
        </w:rPr>
        <w:t>1</w:t>
      </w:r>
      <w:r>
        <w:rPr>
          <w:rFonts w:hint="eastAsia" w:ascii="宋体" w:hAnsi="宋体" w:cs="宋体"/>
          <w:sz w:val="24"/>
        </w:rPr>
        <w:t>)交通部《公路工程集料试验规程》（JTG E42-2005）；</w:t>
      </w:r>
    </w:p>
    <w:p w14:paraId="14805B6B">
      <w:pPr>
        <w:keepNext w:val="0"/>
        <w:keepLines w:val="0"/>
        <w:pageBreakBefore w:val="0"/>
        <w:tabs>
          <w:tab w:val="left" w:pos="988"/>
        </w:tabs>
        <w:kinsoku/>
        <w:wordWrap/>
        <w:overflowPunct/>
        <w:topLinePunct w:val="0"/>
        <w:autoSpaceDE/>
        <w:autoSpaceDN/>
        <w:bidi w:val="0"/>
        <w:adjustRightInd w:val="0"/>
        <w:snapToGrid/>
        <w:spacing w:line="288" w:lineRule="auto"/>
        <w:ind w:left="567" w:leftChars="270"/>
        <w:textAlignment w:val="auto"/>
        <w:rPr>
          <w:rFonts w:ascii="宋体" w:hAnsi="宋体" w:cs="宋体"/>
          <w:sz w:val="24"/>
        </w:rPr>
      </w:pPr>
      <w:r>
        <w:rPr>
          <w:rFonts w:hint="eastAsia" w:ascii="宋体" w:hAnsi="宋体" w:cs="宋体"/>
          <w:sz w:val="24"/>
        </w:rPr>
        <w:t>(</w:t>
      </w:r>
      <w:r>
        <w:rPr>
          <w:rFonts w:ascii="宋体" w:hAnsi="宋体" w:cs="宋体"/>
          <w:sz w:val="24"/>
        </w:rPr>
        <w:t>1</w:t>
      </w:r>
      <w:r>
        <w:rPr>
          <w:rFonts w:hint="eastAsia" w:ascii="宋体" w:hAnsi="宋体" w:cs="宋体"/>
          <w:sz w:val="24"/>
          <w:lang w:val="en-US" w:eastAsia="zh-CN"/>
        </w:rPr>
        <w:t>2</w:t>
      </w:r>
      <w:r>
        <w:rPr>
          <w:rFonts w:hint="eastAsia" w:ascii="宋体" w:hAnsi="宋体" w:cs="宋体"/>
          <w:sz w:val="24"/>
        </w:rPr>
        <w:t>)交通部《公路工程质量检验评定标准》（JTGF80/1-2017）；</w:t>
      </w:r>
    </w:p>
    <w:p w14:paraId="48646DD1">
      <w:pPr>
        <w:keepNext w:val="0"/>
        <w:keepLines w:val="0"/>
        <w:pageBreakBefore w:val="0"/>
        <w:kinsoku/>
        <w:wordWrap/>
        <w:overflowPunct/>
        <w:topLinePunct w:val="0"/>
        <w:autoSpaceDE/>
        <w:autoSpaceDN/>
        <w:bidi w:val="0"/>
        <w:adjustRightInd w:val="0"/>
        <w:snapToGrid/>
        <w:spacing w:line="288" w:lineRule="auto"/>
        <w:ind w:left="567" w:leftChars="270"/>
        <w:textAlignment w:val="auto"/>
        <w:rPr>
          <w:rFonts w:ascii="宋体" w:hAnsi="宋体" w:cs="宋体"/>
          <w:sz w:val="24"/>
        </w:rPr>
      </w:pPr>
      <w:r>
        <w:rPr>
          <w:rFonts w:hint="eastAsia" w:ascii="宋体" w:hAnsi="宋体" w:cs="宋体"/>
          <w:sz w:val="24"/>
        </w:rPr>
        <w:t>(</w:t>
      </w:r>
      <w:r>
        <w:rPr>
          <w:rFonts w:ascii="宋体" w:hAnsi="宋体" w:cs="宋体"/>
          <w:sz w:val="24"/>
        </w:rPr>
        <w:t>1</w:t>
      </w:r>
      <w:r>
        <w:rPr>
          <w:rFonts w:hint="eastAsia" w:ascii="宋体" w:hAnsi="宋体" w:cs="宋体"/>
          <w:sz w:val="24"/>
          <w:lang w:val="en-US" w:eastAsia="zh-CN"/>
        </w:rPr>
        <w:t>3</w:t>
      </w:r>
      <w:r>
        <w:rPr>
          <w:rFonts w:hint="eastAsia" w:ascii="宋体" w:hAnsi="宋体" w:cs="宋体"/>
          <w:sz w:val="24"/>
        </w:rPr>
        <w:t>)</w:t>
      </w:r>
      <w:r>
        <w:rPr>
          <w:rFonts w:hint="eastAsia" w:ascii="宋体" w:hAnsi="宋体"/>
          <w:spacing w:val="4"/>
          <w:sz w:val="24"/>
        </w:rPr>
        <w:t>吉林省交通运输厅编《吉林省农村公路建设与养护技术指南》</w:t>
      </w:r>
      <w:r>
        <w:rPr>
          <w:rFonts w:hint="eastAsia" w:ascii="宋体" w:hAnsi="宋体" w:cs="宋体"/>
          <w:sz w:val="24"/>
        </w:rPr>
        <w:t>；</w:t>
      </w:r>
    </w:p>
    <w:p w14:paraId="10BFE404">
      <w:pPr>
        <w:keepNext w:val="0"/>
        <w:keepLines w:val="0"/>
        <w:pageBreakBefore w:val="0"/>
        <w:kinsoku/>
        <w:wordWrap/>
        <w:overflowPunct/>
        <w:topLinePunct w:val="0"/>
        <w:autoSpaceDE/>
        <w:autoSpaceDN/>
        <w:bidi w:val="0"/>
        <w:adjustRightInd w:val="0"/>
        <w:snapToGrid/>
        <w:spacing w:line="288" w:lineRule="auto"/>
        <w:ind w:left="567" w:leftChars="270"/>
        <w:textAlignment w:val="auto"/>
        <w:rPr>
          <w:rFonts w:ascii="宋体" w:hAnsi="宋体" w:cs="宋体"/>
          <w:sz w:val="24"/>
        </w:rPr>
      </w:pPr>
      <w:r>
        <w:rPr>
          <w:rFonts w:hint="eastAsia" w:ascii="宋体" w:hAnsi="宋体" w:cs="宋体"/>
          <w:sz w:val="24"/>
        </w:rPr>
        <w:t>(</w:t>
      </w:r>
      <w:r>
        <w:rPr>
          <w:rFonts w:ascii="宋体" w:hAnsi="宋体" w:cs="宋体"/>
          <w:sz w:val="24"/>
        </w:rPr>
        <w:t>1</w:t>
      </w:r>
      <w:r>
        <w:rPr>
          <w:rFonts w:hint="eastAsia" w:ascii="宋体" w:hAnsi="宋体" w:cs="宋体"/>
          <w:sz w:val="24"/>
          <w:lang w:val="en-US" w:eastAsia="zh-CN"/>
        </w:rPr>
        <w:t>4</w:t>
      </w:r>
      <w:r>
        <w:rPr>
          <w:rFonts w:hint="eastAsia" w:ascii="宋体" w:hAnsi="宋体" w:cs="宋体"/>
          <w:sz w:val="24"/>
        </w:rPr>
        <w:t>)交通部</w:t>
      </w:r>
      <w:r>
        <w:rPr>
          <w:rFonts w:hint="eastAsia" w:ascii="宋体" w:hAnsi="宋体"/>
          <w:spacing w:val="4"/>
          <w:kern w:val="30"/>
          <w:sz w:val="24"/>
        </w:rPr>
        <w:t>《小交通量农村公路工程技术标准》(JTG 2111-2019)</w:t>
      </w:r>
      <w:r>
        <w:rPr>
          <w:rFonts w:hint="eastAsia" w:ascii="宋体" w:hAnsi="宋体" w:cs="宋体"/>
          <w:sz w:val="24"/>
        </w:rPr>
        <w:t>；</w:t>
      </w:r>
    </w:p>
    <w:p w14:paraId="30AA363D">
      <w:pPr>
        <w:keepNext w:val="0"/>
        <w:keepLines w:val="0"/>
        <w:pageBreakBefore w:val="0"/>
        <w:kinsoku/>
        <w:wordWrap/>
        <w:overflowPunct/>
        <w:topLinePunct w:val="0"/>
        <w:autoSpaceDE/>
        <w:autoSpaceDN/>
        <w:bidi w:val="0"/>
        <w:adjustRightInd w:val="0"/>
        <w:snapToGrid/>
        <w:spacing w:line="288" w:lineRule="auto"/>
        <w:ind w:left="567" w:leftChars="270"/>
        <w:textAlignment w:val="auto"/>
        <w:rPr>
          <w:rFonts w:ascii="宋体" w:hAnsi="宋体" w:cs="宋体"/>
          <w:sz w:val="24"/>
        </w:rPr>
      </w:pPr>
      <w:r>
        <w:rPr>
          <w:rFonts w:hint="eastAsia" w:ascii="宋体" w:hAnsi="宋体" w:cs="宋体"/>
          <w:sz w:val="24"/>
        </w:rPr>
        <w:t>(</w:t>
      </w:r>
      <w:r>
        <w:rPr>
          <w:rFonts w:ascii="宋体" w:hAnsi="宋体" w:cs="宋体"/>
          <w:sz w:val="24"/>
        </w:rPr>
        <w:t>1</w:t>
      </w:r>
      <w:r>
        <w:rPr>
          <w:rFonts w:hint="eastAsia" w:ascii="宋体" w:hAnsi="宋体" w:cs="宋体"/>
          <w:sz w:val="24"/>
          <w:lang w:val="en-US" w:eastAsia="zh-CN"/>
        </w:rPr>
        <w:t>5</w:t>
      </w:r>
      <w:r>
        <w:rPr>
          <w:rFonts w:hint="eastAsia" w:ascii="宋体" w:hAnsi="宋体" w:cs="宋体"/>
          <w:sz w:val="24"/>
        </w:rPr>
        <w:t>)</w:t>
      </w:r>
      <w:r>
        <w:rPr>
          <w:rFonts w:hint="eastAsia" w:ascii="宋体" w:hAnsi="宋体"/>
          <w:spacing w:val="4"/>
          <w:sz w:val="24"/>
        </w:rPr>
        <w:t>国家标准《乡村道路工程技术规范》(GB/T 51224-2017)；</w:t>
      </w:r>
    </w:p>
    <w:p w14:paraId="3B8E2DC4">
      <w:pPr>
        <w:keepNext w:val="0"/>
        <w:keepLines w:val="0"/>
        <w:pageBreakBefore w:val="0"/>
        <w:tabs>
          <w:tab w:val="left" w:pos="988"/>
        </w:tabs>
        <w:kinsoku/>
        <w:wordWrap/>
        <w:overflowPunct/>
        <w:topLinePunct w:val="0"/>
        <w:autoSpaceDE/>
        <w:autoSpaceDN/>
        <w:bidi w:val="0"/>
        <w:adjustRightInd w:val="0"/>
        <w:snapToGrid/>
        <w:spacing w:line="288" w:lineRule="auto"/>
        <w:ind w:left="567" w:leftChars="270"/>
        <w:textAlignment w:val="auto"/>
        <w:rPr>
          <w:rFonts w:ascii="宋体" w:hAnsi="宋体" w:cs="宋体"/>
          <w:sz w:val="24"/>
        </w:rPr>
      </w:pPr>
      <w:r>
        <w:rPr>
          <w:rFonts w:hint="eastAsia" w:ascii="宋体" w:hAnsi="宋体" w:cs="宋体"/>
          <w:sz w:val="24"/>
        </w:rPr>
        <w:t>(</w:t>
      </w:r>
      <w:r>
        <w:rPr>
          <w:rFonts w:ascii="宋体" w:hAnsi="宋体" w:cs="宋体"/>
          <w:sz w:val="24"/>
        </w:rPr>
        <w:t>1</w:t>
      </w:r>
      <w:r>
        <w:rPr>
          <w:rFonts w:hint="eastAsia" w:ascii="宋体" w:hAnsi="宋体" w:cs="宋体"/>
          <w:sz w:val="24"/>
          <w:lang w:val="en-US" w:eastAsia="zh-CN"/>
        </w:rPr>
        <w:t>6</w:t>
      </w:r>
      <w:r>
        <w:rPr>
          <w:rFonts w:hint="eastAsia" w:ascii="宋体" w:hAnsi="宋体" w:cs="宋体"/>
          <w:sz w:val="24"/>
        </w:rPr>
        <w:t>)吉林省水库移民管理局《吉林省大中型水库移扶持项目管理办法》（附件）。</w:t>
      </w:r>
    </w:p>
    <w:p w14:paraId="42AF9585">
      <w:pPr>
        <w:pStyle w:val="3"/>
        <w:keepNext w:val="0"/>
        <w:keepLines w:val="0"/>
        <w:pageBreakBefore w:val="0"/>
        <w:kinsoku/>
        <w:wordWrap/>
        <w:overflowPunct/>
        <w:topLinePunct w:val="0"/>
        <w:autoSpaceDE/>
        <w:autoSpaceDN/>
        <w:bidi w:val="0"/>
        <w:snapToGrid/>
        <w:spacing w:line="288" w:lineRule="auto"/>
        <w:ind w:firstLine="482" w:firstLineChars="200"/>
        <w:textAlignment w:val="auto"/>
        <w:outlineLvl w:val="0"/>
        <w:rPr>
          <w:rFonts w:hAnsi="宋体" w:cs="宋体"/>
          <w:b/>
          <w:sz w:val="24"/>
          <w:szCs w:val="24"/>
        </w:rPr>
      </w:pPr>
      <w:r>
        <w:rPr>
          <w:rFonts w:hint="eastAsia" w:hAnsi="宋体" w:cs="宋体"/>
          <w:b/>
          <w:sz w:val="24"/>
          <w:szCs w:val="24"/>
        </w:rPr>
        <w:t>1.</w:t>
      </w:r>
      <w:r>
        <w:rPr>
          <w:rFonts w:hAnsi="宋体" w:cs="宋体"/>
          <w:b/>
          <w:sz w:val="24"/>
          <w:szCs w:val="24"/>
        </w:rPr>
        <w:t xml:space="preserve">3 </w:t>
      </w:r>
      <w:r>
        <w:rPr>
          <w:rFonts w:hint="eastAsia" w:hAnsi="宋体" w:cs="宋体"/>
          <w:b/>
          <w:sz w:val="24"/>
          <w:szCs w:val="24"/>
        </w:rPr>
        <w:t>技术标准</w:t>
      </w:r>
    </w:p>
    <w:p w14:paraId="1C3A4D98">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本次设计采用的技术标准如下表：</w:t>
      </w:r>
    </w:p>
    <w:tbl>
      <w:tblPr>
        <w:tblStyle w:val="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3205"/>
        <w:gridCol w:w="4961"/>
      </w:tblGrid>
      <w:tr w14:paraId="3A0E51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4" w:hRule="exact"/>
          <w:jc w:val="center"/>
        </w:trPr>
        <w:tc>
          <w:tcPr>
            <w:tcW w:w="3205" w:type="dxa"/>
            <w:tcBorders>
              <w:top w:val="single" w:color="auto" w:sz="12" w:space="0"/>
              <w:bottom w:val="single" w:color="auto" w:sz="6" w:space="0"/>
            </w:tcBorders>
            <w:vAlign w:val="center"/>
          </w:tcPr>
          <w:p w14:paraId="5E7310EC">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项目</w:t>
            </w:r>
          </w:p>
        </w:tc>
        <w:tc>
          <w:tcPr>
            <w:tcW w:w="4961" w:type="dxa"/>
            <w:tcBorders>
              <w:top w:val="single" w:color="auto" w:sz="12" w:space="0"/>
              <w:bottom w:val="single" w:color="auto" w:sz="6" w:space="0"/>
            </w:tcBorders>
            <w:vAlign w:val="center"/>
          </w:tcPr>
          <w:p w14:paraId="250FC8F7">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指标</w:t>
            </w:r>
          </w:p>
        </w:tc>
      </w:tr>
      <w:tr w14:paraId="47C51E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1" w:hRule="exact"/>
          <w:jc w:val="center"/>
        </w:trPr>
        <w:tc>
          <w:tcPr>
            <w:tcW w:w="3205" w:type="dxa"/>
            <w:tcBorders>
              <w:top w:val="single" w:color="auto" w:sz="6" w:space="0"/>
              <w:bottom w:val="single" w:color="auto" w:sz="6" w:space="0"/>
            </w:tcBorders>
            <w:vAlign w:val="center"/>
          </w:tcPr>
          <w:p w14:paraId="7D7CA5F2">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路线名称</w:t>
            </w:r>
          </w:p>
        </w:tc>
        <w:tc>
          <w:tcPr>
            <w:tcW w:w="4961" w:type="dxa"/>
            <w:tcBorders>
              <w:top w:val="single" w:color="auto" w:sz="6" w:space="0"/>
              <w:bottom w:val="single" w:color="auto" w:sz="6" w:space="0"/>
            </w:tcBorders>
            <w:vAlign w:val="center"/>
          </w:tcPr>
          <w:p w14:paraId="5A32EFED">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lang w:eastAsia="zh-CN"/>
              </w:rPr>
              <w:t>长岭县种马场草站屯水泥路维修改造工程</w:t>
            </w:r>
          </w:p>
        </w:tc>
      </w:tr>
      <w:tr w14:paraId="09708F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3205" w:type="dxa"/>
            <w:tcBorders>
              <w:top w:val="single" w:color="auto" w:sz="6" w:space="0"/>
              <w:bottom w:val="single" w:color="auto" w:sz="6" w:space="0"/>
            </w:tcBorders>
            <w:vAlign w:val="center"/>
          </w:tcPr>
          <w:p w14:paraId="4B3646C8">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设计行车速度(公里/小时)</w:t>
            </w:r>
          </w:p>
        </w:tc>
        <w:tc>
          <w:tcPr>
            <w:tcW w:w="4961" w:type="dxa"/>
            <w:tcBorders>
              <w:top w:val="single" w:color="auto" w:sz="6" w:space="0"/>
              <w:bottom w:val="single" w:color="auto" w:sz="6" w:space="0"/>
            </w:tcBorders>
            <w:vAlign w:val="center"/>
          </w:tcPr>
          <w:p w14:paraId="26C4B1EA">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1</w:t>
            </w:r>
            <w:r>
              <w:rPr>
                <w:rFonts w:ascii="宋体" w:hAnsi="宋体" w:cs="宋体"/>
                <w:kern w:val="0"/>
                <w:sz w:val="24"/>
              </w:rPr>
              <w:t>5</w:t>
            </w:r>
          </w:p>
        </w:tc>
      </w:tr>
      <w:tr w14:paraId="455914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3205" w:type="dxa"/>
            <w:tcBorders>
              <w:top w:val="single" w:color="auto" w:sz="6" w:space="0"/>
              <w:bottom w:val="single" w:color="auto" w:sz="6" w:space="0"/>
            </w:tcBorders>
            <w:vAlign w:val="center"/>
          </w:tcPr>
          <w:p w14:paraId="739750AB">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路面宽度</w:t>
            </w:r>
          </w:p>
        </w:tc>
        <w:tc>
          <w:tcPr>
            <w:tcW w:w="4961" w:type="dxa"/>
            <w:tcBorders>
              <w:top w:val="single" w:color="auto" w:sz="6" w:space="0"/>
              <w:bottom w:val="single" w:color="auto" w:sz="6" w:space="0"/>
            </w:tcBorders>
            <w:vAlign w:val="center"/>
          </w:tcPr>
          <w:p w14:paraId="76BEFABB">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4</w:t>
            </w:r>
            <w:r>
              <w:rPr>
                <w:rFonts w:ascii="宋体" w:hAnsi="宋体" w:cs="宋体"/>
                <w:kern w:val="0"/>
                <w:sz w:val="24"/>
              </w:rPr>
              <w:t>.5m</w:t>
            </w:r>
          </w:p>
        </w:tc>
      </w:tr>
      <w:tr w14:paraId="3BFB98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3" w:hRule="exact"/>
          <w:jc w:val="center"/>
        </w:trPr>
        <w:tc>
          <w:tcPr>
            <w:tcW w:w="3205" w:type="dxa"/>
            <w:tcBorders>
              <w:top w:val="single" w:color="auto" w:sz="6" w:space="0"/>
              <w:bottom w:val="single" w:color="auto" w:sz="12" w:space="0"/>
            </w:tcBorders>
            <w:vAlign w:val="center"/>
          </w:tcPr>
          <w:p w14:paraId="67042123">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ascii="宋体" w:hAnsi="宋体" w:cs="宋体"/>
                <w:kern w:val="0"/>
                <w:sz w:val="24"/>
              </w:rPr>
              <w:t>BZZ</w:t>
            </w:r>
            <w:r>
              <w:rPr>
                <w:rFonts w:hint="eastAsia" w:ascii="宋体" w:hAnsi="宋体" w:cs="宋体"/>
                <w:kern w:val="0"/>
                <w:sz w:val="24"/>
              </w:rPr>
              <w:t>-</w:t>
            </w:r>
            <w:r>
              <w:rPr>
                <w:rFonts w:ascii="宋体" w:hAnsi="宋体" w:cs="宋体"/>
                <w:kern w:val="0"/>
                <w:sz w:val="24"/>
              </w:rPr>
              <w:t>100</w:t>
            </w:r>
            <w:r>
              <w:rPr>
                <w:rFonts w:hint="eastAsia" w:ascii="宋体" w:hAnsi="宋体" w:cs="宋体"/>
                <w:kern w:val="0"/>
                <w:sz w:val="24"/>
              </w:rPr>
              <w:t>累计标准</w:t>
            </w:r>
          </w:p>
          <w:p w14:paraId="4020E682">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轴次Ne（次/车道）</w:t>
            </w:r>
          </w:p>
        </w:tc>
        <w:tc>
          <w:tcPr>
            <w:tcW w:w="4961" w:type="dxa"/>
            <w:tcBorders>
              <w:top w:val="single" w:color="auto" w:sz="6" w:space="0"/>
              <w:bottom w:val="single" w:color="auto" w:sz="12" w:space="0"/>
            </w:tcBorders>
            <w:vAlign w:val="center"/>
          </w:tcPr>
          <w:p w14:paraId="26C85486">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&lt;</w:t>
            </w:r>
            <w:r>
              <w:rPr>
                <w:rFonts w:ascii="宋体" w:hAnsi="宋体" w:cs="宋体"/>
                <w:kern w:val="0"/>
                <w:sz w:val="24"/>
              </w:rPr>
              <w:t>3</w:t>
            </w:r>
            <w:r>
              <w:rPr>
                <w:rFonts w:hint="eastAsia" w:ascii="宋体" w:hAnsi="宋体" w:cs="宋体"/>
                <w:kern w:val="0"/>
                <w:sz w:val="24"/>
              </w:rPr>
              <w:t>×10</w:t>
            </w:r>
            <w:r>
              <w:rPr>
                <w:rFonts w:ascii="宋体" w:hAnsi="宋体" w:cs="宋体"/>
                <w:kern w:val="0"/>
                <w:sz w:val="24"/>
                <w:vertAlign w:val="superscript"/>
              </w:rPr>
              <w:t>6</w:t>
            </w:r>
          </w:p>
        </w:tc>
      </w:tr>
    </w:tbl>
    <w:p w14:paraId="452DBE12">
      <w:pPr>
        <w:pStyle w:val="3"/>
        <w:keepNext w:val="0"/>
        <w:keepLines w:val="0"/>
        <w:pageBreakBefore w:val="0"/>
        <w:kinsoku/>
        <w:wordWrap/>
        <w:overflowPunct/>
        <w:topLinePunct w:val="0"/>
        <w:autoSpaceDE/>
        <w:autoSpaceDN/>
        <w:bidi w:val="0"/>
        <w:snapToGrid/>
        <w:spacing w:line="288" w:lineRule="auto"/>
        <w:ind w:firstLine="482" w:firstLineChars="200"/>
        <w:textAlignment w:val="auto"/>
        <w:outlineLvl w:val="0"/>
        <w:rPr>
          <w:rFonts w:hAnsi="宋体" w:cs="宋体"/>
          <w:b/>
          <w:sz w:val="24"/>
          <w:szCs w:val="24"/>
        </w:rPr>
      </w:pPr>
      <w:r>
        <w:rPr>
          <w:rFonts w:hint="eastAsia" w:hAnsi="宋体" w:cs="宋体"/>
          <w:b/>
          <w:sz w:val="24"/>
          <w:szCs w:val="24"/>
        </w:rPr>
        <w:t>1.</w:t>
      </w:r>
      <w:r>
        <w:rPr>
          <w:rFonts w:hAnsi="宋体" w:cs="宋体"/>
          <w:b/>
          <w:sz w:val="24"/>
          <w:szCs w:val="24"/>
        </w:rPr>
        <w:t xml:space="preserve">4 </w:t>
      </w:r>
      <w:r>
        <w:rPr>
          <w:rFonts w:hint="eastAsia" w:hAnsi="宋体" w:cs="宋体"/>
          <w:b/>
          <w:sz w:val="24"/>
          <w:szCs w:val="24"/>
        </w:rPr>
        <w:t>测设经过</w:t>
      </w:r>
    </w:p>
    <w:p w14:paraId="3E805854">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为全面了解和真实系统的掌握本路段的具体情况状况，我公司于</w:t>
      </w:r>
      <w:r>
        <w:rPr>
          <w:rFonts w:hint="eastAsia" w:ascii="宋体" w:hAnsi="宋体" w:cs="宋体"/>
          <w:color w:val="0000FF"/>
          <w:sz w:val="24"/>
        </w:rPr>
        <w:t>20</w:t>
      </w:r>
      <w:r>
        <w:rPr>
          <w:rFonts w:hint="eastAsia" w:ascii="宋体" w:hAnsi="宋体" w:cs="宋体"/>
          <w:color w:val="0000FF"/>
          <w:sz w:val="24"/>
          <w:lang w:val="en-US" w:eastAsia="zh-CN"/>
        </w:rPr>
        <w:t>24</w:t>
      </w:r>
      <w:r>
        <w:rPr>
          <w:rFonts w:hint="eastAsia" w:ascii="宋体" w:hAnsi="宋体" w:cs="宋体"/>
          <w:color w:val="0000FF"/>
          <w:sz w:val="24"/>
        </w:rPr>
        <w:t>年在</w:t>
      </w:r>
      <w:r>
        <w:rPr>
          <w:rFonts w:hint="eastAsia" w:ascii="宋体" w:hAnsi="宋体" w:cs="宋体"/>
          <w:color w:val="0000FF"/>
          <w:sz w:val="24"/>
          <w:lang w:eastAsia="zh-CN"/>
        </w:rPr>
        <w:t>长岭县</w:t>
      </w:r>
      <w:r>
        <w:rPr>
          <w:rFonts w:hint="eastAsia" w:ascii="宋体" w:hAnsi="宋体" w:cs="宋体"/>
          <w:sz w:val="24"/>
        </w:rPr>
        <w:t>水库移民办公室及地方领导的配合下，使用南方测绘（SOUTH）生产的RTK对沿线进行了勘测，分别对该路段的路基、路面的病害情况进行详细的调查并拍摄了照片。外业期间积极与水库移民办公室业务科、项目科及地方领导、管理部门进行沟通，会同相关人员现场勘察，结合实际情况，针对沿线路段各种病害进行现场分析，做出切实可行的养护维修方案，形成了完整的外业调查记录，为该路段设计提供了详实可靠的依据。最后在对所有资料进行对比、分析的基础上，分段对路面结构进行整体判断，并在外业现场提出初步的设计方案。根据路况病害测定结果，对路面各层的厚度和使用功能进行综合评价。在对所收集资料进行分析的基础上，针对本工程的特点，提出了最终的养护设计方案。</w:t>
      </w:r>
    </w:p>
    <w:p w14:paraId="394A818C">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内业设计过程中，本着实事求是的原则，科学合理地采用技术指标，利用Card/1、纬地、CAD等国内外先进的软件进行设计。设计人员坚持“质量第一，诚实守信”的设计理念，严格按照质量管理目标，层层把关，确保设计质量。</w:t>
      </w:r>
    </w:p>
    <w:p w14:paraId="41449712">
      <w:pPr>
        <w:keepNext w:val="0"/>
        <w:keepLines w:val="0"/>
        <w:pageBreakBefore w:val="0"/>
        <w:kinsoku/>
        <w:wordWrap/>
        <w:overflowPunct/>
        <w:topLinePunct w:val="0"/>
        <w:autoSpaceDE/>
        <w:autoSpaceDN/>
        <w:bidi w:val="0"/>
        <w:adjustRightInd w:val="0"/>
        <w:snapToGrid/>
        <w:spacing w:line="288" w:lineRule="auto"/>
        <w:textAlignment w:val="auto"/>
        <w:rPr>
          <w:rFonts w:ascii="宋体" w:hAnsi="宋体"/>
          <w:b/>
          <w:spacing w:val="4"/>
          <w:kern w:val="30"/>
          <w:sz w:val="24"/>
        </w:rPr>
      </w:pPr>
      <w:r>
        <w:rPr>
          <w:rFonts w:hint="eastAsia" w:ascii="宋体" w:hAnsi="宋体"/>
          <w:b/>
          <w:spacing w:val="4"/>
          <w:kern w:val="30"/>
          <w:sz w:val="24"/>
        </w:rPr>
        <w:t>二</w:t>
      </w:r>
      <w:r>
        <w:rPr>
          <w:rFonts w:hint="eastAsia" w:hAnsi="宋体" w:cs="宋体"/>
          <w:b/>
          <w:sz w:val="24"/>
        </w:rPr>
        <w:t>、</w:t>
      </w:r>
      <w:r>
        <w:rPr>
          <w:rFonts w:hint="eastAsia" w:ascii="宋体" w:hAnsi="宋体"/>
          <w:b/>
          <w:spacing w:val="4"/>
          <w:kern w:val="30"/>
          <w:sz w:val="24"/>
        </w:rPr>
        <w:t>主要工程规模</w:t>
      </w:r>
    </w:p>
    <w:p w14:paraId="776051A7">
      <w:pPr>
        <w:keepNext w:val="0"/>
        <w:keepLines w:val="0"/>
        <w:pageBreakBefore w:val="0"/>
        <w:kinsoku/>
        <w:wordWrap/>
        <w:overflowPunct/>
        <w:topLinePunct w:val="0"/>
        <w:autoSpaceDE/>
        <w:autoSpaceDN/>
        <w:bidi w:val="0"/>
        <w:adjustRightInd w:val="0"/>
        <w:snapToGrid/>
        <w:spacing w:line="288" w:lineRule="auto"/>
        <w:jc w:val="center"/>
        <w:textAlignment w:val="auto"/>
        <w:rPr>
          <w:rFonts w:ascii="宋体" w:hAnsi="宋体"/>
          <w:spacing w:val="4"/>
          <w:kern w:val="30"/>
          <w:sz w:val="28"/>
          <w:szCs w:val="28"/>
        </w:rPr>
      </w:pPr>
      <w:r>
        <w:rPr>
          <w:rFonts w:hint="eastAsia" w:ascii="宋体" w:hAnsi="宋体"/>
          <w:spacing w:val="4"/>
          <w:kern w:val="30"/>
          <w:sz w:val="28"/>
          <w:szCs w:val="28"/>
        </w:rPr>
        <w:t>主 要 工 程 数 量</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3"/>
        <w:gridCol w:w="4536"/>
        <w:gridCol w:w="1843"/>
        <w:gridCol w:w="2693"/>
      </w:tblGrid>
      <w:tr w14:paraId="4EA4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43" w:type="dxa"/>
            <w:tcBorders>
              <w:top w:val="single" w:color="auto" w:sz="18" w:space="0"/>
              <w:left w:val="single" w:color="auto" w:sz="18" w:space="0"/>
              <w:bottom w:val="single" w:color="auto" w:sz="4" w:space="0"/>
              <w:right w:val="single" w:color="auto" w:sz="4" w:space="0"/>
            </w:tcBorders>
            <w:noWrap/>
            <w:vAlign w:val="bottom"/>
          </w:tcPr>
          <w:p w14:paraId="13D1D556">
            <w:pPr>
              <w:keepNext w:val="0"/>
              <w:keepLines w:val="0"/>
              <w:pageBreakBefore w:val="0"/>
              <w:kinsoku/>
              <w:wordWrap/>
              <w:overflowPunct/>
              <w:topLinePunct w:val="0"/>
              <w:autoSpaceDE/>
              <w:autoSpaceDN/>
              <w:bidi w:val="0"/>
              <w:snapToGrid/>
              <w:spacing w:line="288" w:lineRule="auto"/>
              <w:jc w:val="right"/>
              <w:textAlignment w:val="auto"/>
              <w:rPr>
                <w:rFonts w:ascii="宋体" w:cs="宋体"/>
                <w:color w:val="000000"/>
                <w:kern w:val="0"/>
                <w:sz w:val="24"/>
              </w:rPr>
            </w:pPr>
            <w:r>
              <w:rPr>
                <w:rFonts w:hint="eastAsia" w:ascii="宋体" w:hAnsi="宋体" w:cs="宋体"/>
                <w:kern w:val="0"/>
                <w:sz w:val="24"/>
              </w:rPr>
              <w:t>内容</w:t>
            </w:r>
            <w:r>
              <w:rPr>
                <w:rFonts w:hint="eastAsia" w:ascii="宋体" w:cs="宋体"/>
                <w:color w:val="000000"/>
                <w:kern w:val="0"/>
                <w:sz w:val="24"/>
              </w:rPr>
              <w:t xml:space="preserve"> </w:t>
            </w:r>
          </w:p>
          <w:p w14:paraId="6A5264EA">
            <w:pPr>
              <w:keepNext w:val="0"/>
              <w:keepLines w:val="0"/>
              <w:pageBreakBefore w:val="0"/>
              <w:kinsoku/>
              <w:wordWrap/>
              <w:overflowPunct/>
              <w:topLinePunct w:val="0"/>
              <w:autoSpaceDE/>
              <w:autoSpaceDN/>
              <w:bidi w:val="0"/>
              <w:snapToGrid/>
              <w:spacing w:line="288" w:lineRule="auto"/>
              <w:jc w:val="left"/>
              <w:textAlignment w:val="auto"/>
              <w:rPr>
                <w:rFonts w:ascii="宋体" w:cs="宋体"/>
                <w:color w:val="000000"/>
                <w:kern w:val="0"/>
                <w:sz w:val="24"/>
              </w:rPr>
            </w:pPr>
            <w:r>
              <w:rPr>
                <w:rFonts w:hint="eastAsia" w:ascii="宋体" w:hAnsi="宋体" w:cs="宋体"/>
                <w:kern w:val="0"/>
                <w:sz w:val="24"/>
              </w:rPr>
              <w:t>编号</w:t>
            </w:r>
          </w:p>
        </w:tc>
        <w:tc>
          <w:tcPr>
            <w:tcW w:w="4536" w:type="dxa"/>
            <w:tcBorders>
              <w:top w:val="single" w:color="auto" w:sz="18" w:space="0"/>
              <w:left w:val="single" w:color="auto" w:sz="4" w:space="0"/>
              <w:bottom w:val="single" w:color="auto" w:sz="4" w:space="0"/>
              <w:right w:val="single" w:color="auto" w:sz="4" w:space="0"/>
            </w:tcBorders>
            <w:vAlign w:val="center"/>
          </w:tcPr>
          <w:p w14:paraId="059CE6FB">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项目</w:t>
            </w:r>
          </w:p>
        </w:tc>
        <w:tc>
          <w:tcPr>
            <w:tcW w:w="1843" w:type="dxa"/>
            <w:tcBorders>
              <w:top w:val="single" w:color="auto" w:sz="18" w:space="0"/>
              <w:left w:val="single" w:color="auto" w:sz="4" w:space="0"/>
              <w:bottom w:val="single" w:color="auto" w:sz="4" w:space="0"/>
              <w:right w:val="single" w:color="auto" w:sz="4" w:space="0"/>
            </w:tcBorders>
            <w:vAlign w:val="center"/>
          </w:tcPr>
          <w:p w14:paraId="67446021">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单位</w:t>
            </w:r>
          </w:p>
        </w:tc>
        <w:tc>
          <w:tcPr>
            <w:tcW w:w="2693" w:type="dxa"/>
            <w:tcBorders>
              <w:top w:val="single" w:color="auto" w:sz="18" w:space="0"/>
              <w:left w:val="single" w:color="auto" w:sz="4" w:space="0"/>
              <w:bottom w:val="single" w:color="auto" w:sz="4" w:space="0"/>
              <w:right w:val="single" w:color="auto" w:sz="18" w:space="0"/>
            </w:tcBorders>
            <w:vAlign w:val="center"/>
          </w:tcPr>
          <w:p w14:paraId="75CFDF54">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工程量</w:t>
            </w:r>
          </w:p>
        </w:tc>
      </w:tr>
      <w:tr w14:paraId="54699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543" w:type="dxa"/>
            <w:tcBorders>
              <w:top w:val="single" w:color="auto" w:sz="4" w:space="0"/>
              <w:left w:val="single" w:color="auto" w:sz="18" w:space="0"/>
              <w:bottom w:val="single" w:color="auto" w:sz="4" w:space="0"/>
              <w:right w:val="single" w:color="auto" w:sz="4" w:space="0"/>
            </w:tcBorders>
            <w:vAlign w:val="center"/>
          </w:tcPr>
          <w:p w14:paraId="2ED0E5EF">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1</w:t>
            </w:r>
          </w:p>
        </w:tc>
        <w:tc>
          <w:tcPr>
            <w:tcW w:w="4536" w:type="dxa"/>
            <w:tcBorders>
              <w:top w:val="single" w:color="auto" w:sz="4" w:space="0"/>
              <w:left w:val="single" w:color="auto" w:sz="4" w:space="0"/>
              <w:bottom w:val="single" w:color="auto" w:sz="4" w:space="0"/>
              <w:right w:val="single" w:color="auto" w:sz="4" w:space="0"/>
            </w:tcBorders>
            <w:vAlign w:val="center"/>
          </w:tcPr>
          <w:p w14:paraId="269DDEC9">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铺筑长度</w:t>
            </w:r>
          </w:p>
        </w:tc>
        <w:tc>
          <w:tcPr>
            <w:tcW w:w="1843" w:type="dxa"/>
            <w:tcBorders>
              <w:top w:val="single" w:color="auto" w:sz="4" w:space="0"/>
              <w:left w:val="single" w:color="auto" w:sz="4" w:space="0"/>
              <w:bottom w:val="single" w:color="auto" w:sz="4" w:space="0"/>
              <w:right w:val="single" w:color="auto" w:sz="4" w:space="0"/>
            </w:tcBorders>
            <w:vAlign w:val="center"/>
          </w:tcPr>
          <w:p w14:paraId="660A043B">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公里</w:t>
            </w:r>
          </w:p>
        </w:tc>
        <w:tc>
          <w:tcPr>
            <w:tcW w:w="2693" w:type="dxa"/>
            <w:tcBorders>
              <w:top w:val="single" w:color="auto" w:sz="4" w:space="0"/>
              <w:left w:val="single" w:color="auto" w:sz="4" w:space="0"/>
              <w:bottom w:val="single" w:color="auto" w:sz="4" w:space="0"/>
              <w:right w:val="single" w:color="auto" w:sz="18" w:space="0"/>
            </w:tcBorders>
            <w:vAlign w:val="center"/>
          </w:tcPr>
          <w:p w14:paraId="6AC80A73">
            <w:pPr>
              <w:keepNext w:val="0"/>
              <w:keepLines w:val="0"/>
              <w:pageBreakBefore w:val="0"/>
              <w:kinsoku/>
              <w:wordWrap/>
              <w:overflowPunct/>
              <w:topLinePunct w:val="0"/>
              <w:autoSpaceDE/>
              <w:autoSpaceDN/>
              <w:bidi w:val="0"/>
              <w:snapToGrid/>
              <w:spacing w:line="288"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3.993</w:t>
            </w:r>
          </w:p>
        </w:tc>
      </w:tr>
      <w:tr w14:paraId="5A577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543" w:type="dxa"/>
            <w:tcBorders>
              <w:top w:val="single" w:color="auto" w:sz="4" w:space="0"/>
              <w:left w:val="single" w:color="auto" w:sz="18" w:space="0"/>
              <w:bottom w:val="single" w:color="auto" w:sz="4" w:space="0"/>
              <w:right w:val="single" w:color="auto" w:sz="4" w:space="0"/>
            </w:tcBorders>
            <w:vAlign w:val="center"/>
          </w:tcPr>
          <w:p w14:paraId="07CFC4D8">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2</w:t>
            </w:r>
          </w:p>
        </w:tc>
        <w:tc>
          <w:tcPr>
            <w:tcW w:w="4536" w:type="dxa"/>
            <w:tcBorders>
              <w:top w:val="single" w:color="auto" w:sz="4" w:space="0"/>
              <w:left w:val="single" w:color="auto" w:sz="4" w:space="0"/>
              <w:bottom w:val="single" w:color="auto" w:sz="4" w:space="0"/>
              <w:right w:val="single" w:color="auto" w:sz="4" w:space="0"/>
            </w:tcBorders>
            <w:vAlign w:val="center"/>
          </w:tcPr>
          <w:p w14:paraId="37380D80">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5cmAC-16中粒式沥青混凝土面层</w:t>
            </w:r>
          </w:p>
        </w:tc>
        <w:tc>
          <w:tcPr>
            <w:tcW w:w="1843" w:type="dxa"/>
            <w:tcBorders>
              <w:top w:val="single" w:color="auto" w:sz="4" w:space="0"/>
              <w:left w:val="single" w:color="auto" w:sz="4" w:space="0"/>
              <w:bottom w:val="single" w:color="auto" w:sz="4" w:space="0"/>
              <w:right w:val="single" w:color="auto" w:sz="4" w:space="0"/>
            </w:tcBorders>
            <w:vAlign w:val="center"/>
          </w:tcPr>
          <w:p w14:paraId="53DFF4B2">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千平方米</w:t>
            </w:r>
          </w:p>
        </w:tc>
        <w:tc>
          <w:tcPr>
            <w:tcW w:w="2693" w:type="dxa"/>
            <w:tcBorders>
              <w:top w:val="single" w:color="auto" w:sz="4" w:space="0"/>
              <w:left w:val="single" w:color="auto" w:sz="4" w:space="0"/>
              <w:bottom w:val="single" w:color="auto" w:sz="4" w:space="0"/>
              <w:right w:val="single" w:color="auto" w:sz="18" w:space="0"/>
            </w:tcBorders>
            <w:vAlign w:val="center"/>
          </w:tcPr>
          <w:p w14:paraId="4A9EF600">
            <w:pPr>
              <w:keepNext w:val="0"/>
              <w:keepLines w:val="0"/>
              <w:pageBreakBefore w:val="0"/>
              <w:kinsoku/>
              <w:wordWrap/>
              <w:overflowPunct/>
              <w:topLinePunct w:val="0"/>
              <w:autoSpaceDE/>
              <w:autoSpaceDN/>
              <w:bidi w:val="0"/>
              <w:snapToGrid/>
              <w:spacing w:line="288"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17.969</w:t>
            </w:r>
          </w:p>
        </w:tc>
      </w:tr>
      <w:tr w14:paraId="7A5B3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543" w:type="dxa"/>
            <w:tcBorders>
              <w:top w:val="single" w:color="auto" w:sz="4" w:space="0"/>
              <w:left w:val="single" w:color="auto" w:sz="18" w:space="0"/>
              <w:bottom w:val="single" w:color="auto" w:sz="4" w:space="0"/>
              <w:right w:val="single" w:color="auto" w:sz="4" w:space="0"/>
            </w:tcBorders>
            <w:vAlign w:val="center"/>
          </w:tcPr>
          <w:p w14:paraId="1D36CEF2">
            <w:pPr>
              <w:keepNext w:val="0"/>
              <w:keepLines w:val="0"/>
              <w:pageBreakBefore w:val="0"/>
              <w:kinsoku/>
              <w:wordWrap/>
              <w:overflowPunct/>
              <w:topLinePunct w:val="0"/>
              <w:autoSpaceDE/>
              <w:autoSpaceDN/>
              <w:bidi w:val="0"/>
              <w:snapToGrid/>
              <w:spacing w:line="288" w:lineRule="auto"/>
              <w:jc w:val="center"/>
              <w:textAlignment w:val="auto"/>
              <w:rPr>
                <w:rFonts w:hint="eastAsia" w:ascii="宋体" w:hAnsi="宋体" w:eastAsia="宋体" w:cs="宋体"/>
                <w:kern w:val="0"/>
                <w:sz w:val="24"/>
                <w:lang w:val="en-US" w:eastAsia="zh-CN"/>
              </w:rPr>
            </w:pPr>
            <w:r>
              <w:rPr>
                <w:rFonts w:hint="eastAsia" w:ascii="宋体" w:hAnsi="宋体" w:cs="宋体"/>
                <w:kern w:val="0"/>
                <w:sz w:val="24"/>
                <w:lang w:val="en-US" w:eastAsia="zh-CN"/>
              </w:rPr>
              <w:t>3</w:t>
            </w:r>
          </w:p>
        </w:tc>
        <w:tc>
          <w:tcPr>
            <w:tcW w:w="4536" w:type="dxa"/>
            <w:tcBorders>
              <w:top w:val="single" w:color="auto" w:sz="4" w:space="0"/>
              <w:left w:val="single" w:color="auto" w:sz="4" w:space="0"/>
              <w:bottom w:val="single" w:color="auto" w:sz="4" w:space="0"/>
              <w:right w:val="single" w:color="auto" w:sz="4" w:space="0"/>
            </w:tcBorders>
            <w:vAlign w:val="center"/>
          </w:tcPr>
          <w:p w14:paraId="7AF2B661">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lang w:val="en-US" w:eastAsia="zh-CN"/>
              </w:rPr>
              <w:t>0.5</w:t>
            </w:r>
            <w:r>
              <w:rPr>
                <w:rFonts w:hint="eastAsia" w:ascii="宋体" w:hAnsi="宋体" w:cs="宋体"/>
                <w:kern w:val="0"/>
                <w:sz w:val="24"/>
              </w:rPr>
              <w:t>cmAC-16中粒式沥青混凝土调平层</w:t>
            </w:r>
          </w:p>
        </w:tc>
        <w:tc>
          <w:tcPr>
            <w:tcW w:w="1843" w:type="dxa"/>
            <w:tcBorders>
              <w:top w:val="single" w:color="auto" w:sz="4" w:space="0"/>
              <w:left w:val="single" w:color="auto" w:sz="4" w:space="0"/>
              <w:bottom w:val="single" w:color="auto" w:sz="4" w:space="0"/>
              <w:right w:val="single" w:color="auto" w:sz="4" w:space="0"/>
            </w:tcBorders>
            <w:vAlign w:val="center"/>
          </w:tcPr>
          <w:p w14:paraId="4B0BC610">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千平方米</w:t>
            </w:r>
          </w:p>
        </w:tc>
        <w:tc>
          <w:tcPr>
            <w:tcW w:w="2693" w:type="dxa"/>
            <w:tcBorders>
              <w:top w:val="single" w:color="auto" w:sz="4" w:space="0"/>
              <w:left w:val="single" w:color="auto" w:sz="4" w:space="0"/>
              <w:bottom w:val="single" w:color="auto" w:sz="4" w:space="0"/>
              <w:right w:val="single" w:color="auto" w:sz="18" w:space="0"/>
            </w:tcBorders>
            <w:vAlign w:val="center"/>
          </w:tcPr>
          <w:p w14:paraId="2CF1873F">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lang w:val="en-US" w:eastAsia="zh-CN"/>
              </w:rPr>
              <w:t>17.969</w:t>
            </w:r>
          </w:p>
        </w:tc>
      </w:tr>
      <w:tr w14:paraId="51078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543" w:type="dxa"/>
            <w:tcBorders>
              <w:top w:val="single" w:color="auto" w:sz="4" w:space="0"/>
              <w:left w:val="single" w:color="auto" w:sz="18" w:space="0"/>
              <w:bottom w:val="single" w:color="auto" w:sz="4" w:space="0"/>
              <w:right w:val="single" w:color="auto" w:sz="4" w:space="0"/>
            </w:tcBorders>
            <w:vAlign w:val="center"/>
          </w:tcPr>
          <w:p w14:paraId="3FA04125">
            <w:pPr>
              <w:keepNext w:val="0"/>
              <w:keepLines w:val="0"/>
              <w:pageBreakBefore w:val="0"/>
              <w:kinsoku/>
              <w:wordWrap/>
              <w:overflowPunct/>
              <w:topLinePunct w:val="0"/>
              <w:autoSpaceDE/>
              <w:autoSpaceDN/>
              <w:bidi w:val="0"/>
              <w:snapToGrid/>
              <w:spacing w:line="288" w:lineRule="auto"/>
              <w:jc w:val="center"/>
              <w:textAlignment w:val="auto"/>
              <w:rPr>
                <w:rFonts w:hint="default" w:ascii="宋体" w:hAnsi="宋体" w:cs="宋体"/>
                <w:kern w:val="0"/>
                <w:sz w:val="24"/>
                <w:lang w:val="en-US" w:eastAsia="zh-CN"/>
              </w:rPr>
            </w:pPr>
            <w:r>
              <w:rPr>
                <w:rFonts w:hint="eastAsia" w:ascii="宋体" w:hAnsi="宋体" w:cs="宋体"/>
                <w:kern w:val="0"/>
                <w:sz w:val="24"/>
                <w:lang w:val="en-US" w:eastAsia="zh-CN"/>
              </w:rPr>
              <w:t>4</w:t>
            </w:r>
          </w:p>
        </w:tc>
        <w:tc>
          <w:tcPr>
            <w:tcW w:w="4536" w:type="dxa"/>
            <w:tcBorders>
              <w:top w:val="single" w:color="auto" w:sz="4" w:space="0"/>
              <w:left w:val="single" w:color="auto" w:sz="4" w:space="0"/>
              <w:bottom w:val="single" w:color="auto" w:sz="4" w:space="0"/>
              <w:right w:val="single" w:color="auto" w:sz="4" w:space="0"/>
            </w:tcBorders>
            <w:shd w:val="clear" w:color="auto" w:fill="auto"/>
            <w:vAlign w:val="center"/>
          </w:tcPr>
          <w:p w14:paraId="1BB01D63">
            <w:pPr>
              <w:keepNext w:val="0"/>
              <w:keepLines w:val="0"/>
              <w:pageBreakBefore w:val="0"/>
              <w:kinsoku/>
              <w:wordWrap/>
              <w:overflowPunct/>
              <w:topLinePunct w:val="0"/>
              <w:autoSpaceDE/>
              <w:autoSpaceDN/>
              <w:bidi w:val="0"/>
              <w:snapToGrid/>
              <w:spacing w:line="288"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黏层油</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14:paraId="595A842C">
            <w:pPr>
              <w:keepNext w:val="0"/>
              <w:keepLines w:val="0"/>
              <w:pageBreakBefore w:val="0"/>
              <w:kinsoku/>
              <w:wordWrap/>
              <w:overflowPunct/>
              <w:topLinePunct w:val="0"/>
              <w:autoSpaceDE/>
              <w:autoSpaceDN/>
              <w:bidi w:val="0"/>
              <w:snapToGrid/>
              <w:spacing w:line="288"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rPr>
              <w:t>千平方米</w:t>
            </w:r>
          </w:p>
        </w:tc>
        <w:tc>
          <w:tcPr>
            <w:tcW w:w="2693" w:type="dxa"/>
            <w:tcBorders>
              <w:top w:val="single" w:color="auto" w:sz="4" w:space="0"/>
              <w:left w:val="single" w:color="auto" w:sz="4" w:space="0"/>
              <w:bottom w:val="single" w:color="auto" w:sz="4" w:space="0"/>
              <w:right w:val="single" w:color="auto" w:sz="18" w:space="0"/>
            </w:tcBorders>
            <w:shd w:val="clear" w:color="auto" w:fill="auto"/>
            <w:vAlign w:val="center"/>
          </w:tcPr>
          <w:p w14:paraId="42F13283">
            <w:pPr>
              <w:keepNext w:val="0"/>
              <w:keepLines w:val="0"/>
              <w:pageBreakBefore w:val="0"/>
              <w:kinsoku/>
              <w:wordWrap/>
              <w:overflowPunct/>
              <w:topLinePunct w:val="0"/>
              <w:autoSpaceDE/>
              <w:autoSpaceDN/>
              <w:bidi w:val="0"/>
              <w:snapToGrid/>
              <w:spacing w:line="288" w:lineRule="auto"/>
              <w:jc w:val="center"/>
              <w:textAlignment w:val="auto"/>
              <w:rPr>
                <w:rFonts w:hint="eastAsia" w:ascii="宋体" w:hAnsi="宋体" w:eastAsia="宋体" w:cs="宋体"/>
                <w:kern w:val="0"/>
                <w:sz w:val="24"/>
                <w:szCs w:val="24"/>
                <w:lang w:val="en-US" w:eastAsia="zh-CN" w:bidi="ar-SA"/>
              </w:rPr>
            </w:pPr>
            <w:r>
              <w:rPr>
                <w:rFonts w:hint="eastAsia" w:ascii="宋体" w:hAnsi="宋体" w:cs="宋体"/>
                <w:kern w:val="0"/>
                <w:sz w:val="24"/>
                <w:lang w:val="en-US" w:eastAsia="zh-CN"/>
              </w:rPr>
              <w:t>17.969</w:t>
            </w:r>
          </w:p>
        </w:tc>
      </w:tr>
      <w:tr w14:paraId="665BE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543" w:type="dxa"/>
            <w:tcBorders>
              <w:top w:val="single" w:color="auto" w:sz="4" w:space="0"/>
              <w:left w:val="single" w:color="auto" w:sz="18" w:space="0"/>
              <w:bottom w:val="single" w:color="auto" w:sz="4" w:space="0"/>
              <w:right w:val="single" w:color="auto" w:sz="4" w:space="0"/>
            </w:tcBorders>
            <w:vAlign w:val="center"/>
          </w:tcPr>
          <w:p w14:paraId="23EDEAA5">
            <w:pPr>
              <w:keepNext w:val="0"/>
              <w:keepLines w:val="0"/>
              <w:pageBreakBefore w:val="0"/>
              <w:kinsoku/>
              <w:wordWrap/>
              <w:overflowPunct/>
              <w:topLinePunct w:val="0"/>
              <w:autoSpaceDE/>
              <w:autoSpaceDN/>
              <w:bidi w:val="0"/>
              <w:snapToGrid/>
              <w:spacing w:line="288" w:lineRule="auto"/>
              <w:jc w:val="center"/>
              <w:textAlignment w:val="auto"/>
              <w:rPr>
                <w:rFonts w:hint="default" w:ascii="宋体" w:hAnsi="宋体" w:cs="宋体"/>
                <w:kern w:val="0"/>
                <w:sz w:val="24"/>
                <w:lang w:val="en-US" w:eastAsia="zh-CN"/>
              </w:rPr>
            </w:pPr>
            <w:r>
              <w:rPr>
                <w:rFonts w:hint="eastAsia" w:ascii="宋体" w:hAnsi="宋体" w:cs="宋体"/>
                <w:kern w:val="0"/>
                <w:sz w:val="24"/>
                <w:lang w:val="en-US" w:eastAsia="zh-CN"/>
              </w:rPr>
              <w:t>5</w:t>
            </w:r>
          </w:p>
        </w:tc>
        <w:tc>
          <w:tcPr>
            <w:tcW w:w="4536" w:type="dxa"/>
            <w:tcBorders>
              <w:top w:val="single" w:color="auto" w:sz="4" w:space="0"/>
              <w:left w:val="single" w:color="auto" w:sz="4" w:space="0"/>
              <w:bottom w:val="single" w:color="auto" w:sz="4" w:space="0"/>
              <w:right w:val="single" w:color="auto" w:sz="4" w:space="0"/>
            </w:tcBorders>
            <w:shd w:val="clear" w:color="auto" w:fill="auto"/>
            <w:vAlign w:val="center"/>
          </w:tcPr>
          <w:p w14:paraId="5DA9EA57">
            <w:pPr>
              <w:keepNext w:val="0"/>
              <w:keepLines w:val="0"/>
              <w:pageBreakBefore w:val="0"/>
              <w:kinsoku/>
              <w:wordWrap/>
              <w:overflowPunct/>
              <w:topLinePunct w:val="0"/>
              <w:autoSpaceDE/>
              <w:autoSpaceDN/>
              <w:bidi w:val="0"/>
              <w:snapToGrid/>
              <w:spacing w:line="288" w:lineRule="auto"/>
              <w:jc w:val="center"/>
              <w:textAlignment w:val="auto"/>
              <w:rPr>
                <w:rFonts w:hint="default" w:ascii="宋体" w:hAnsi="宋体" w:cs="宋体"/>
                <w:kern w:val="0"/>
                <w:sz w:val="24"/>
                <w:lang w:val="en-US" w:eastAsia="zh-CN"/>
              </w:rPr>
            </w:pPr>
            <w:r>
              <w:rPr>
                <w:rFonts w:hint="eastAsia" w:ascii="宋体" w:hAnsi="宋体" w:cs="宋体"/>
                <w:kern w:val="0"/>
                <w:sz w:val="24"/>
                <w:lang w:val="en-US" w:eastAsia="zh-CN"/>
              </w:rPr>
              <w:t>铣刨2cm原路面</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14:paraId="77531C70">
            <w:pPr>
              <w:keepNext w:val="0"/>
              <w:keepLines w:val="0"/>
              <w:pageBreakBefore w:val="0"/>
              <w:kinsoku/>
              <w:wordWrap/>
              <w:overflowPunct/>
              <w:topLinePunct w:val="0"/>
              <w:autoSpaceDE/>
              <w:autoSpaceDN/>
              <w:bidi w:val="0"/>
              <w:snapToGrid/>
              <w:spacing w:line="288" w:lineRule="auto"/>
              <w:jc w:val="center"/>
              <w:textAlignment w:val="auto"/>
              <w:rPr>
                <w:rFonts w:hint="eastAsia" w:ascii="宋体" w:hAnsi="宋体" w:cs="宋体"/>
                <w:kern w:val="0"/>
                <w:sz w:val="24"/>
              </w:rPr>
            </w:pPr>
            <w:r>
              <w:rPr>
                <w:rFonts w:hint="eastAsia" w:ascii="宋体" w:hAnsi="宋体" w:cs="宋体"/>
                <w:kern w:val="0"/>
                <w:sz w:val="24"/>
              </w:rPr>
              <w:t>千平方米</w:t>
            </w:r>
          </w:p>
        </w:tc>
        <w:tc>
          <w:tcPr>
            <w:tcW w:w="2693" w:type="dxa"/>
            <w:tcBorders>
              <w:top w:val="single" w:color="auto" w:sz="4" w:space="0"/>
              <w:left w:val="single" w:color="auto" w:sz="4" w:space="0"/>
              <w:bottom w:val="single" w:color="auto" w:sz="4" w:space="0"/>
              <w:right w:val="single" w:color="auto" w:sz="18" w:space="0"/>
            </w:tcBorders>
            <w:shd w:val="clear" w:color="auto" w:fill="auto"/>
            <w:vAlign w:val="center"/>
          </w:tcPr>
          <w:p w14:paraId="3B605CB5">
            <w:pPr>
              <w:keepNext w:val="0"/>
              <w:keepLines w:val="0"/>
              <w:pageBreakBefore w:val="0"/>
              <w:kinsoku/>
              <w:wordWrap/>
              <w:overflowPunct/>
              <w:topLinePunct w:val="0"/>
              <w:autoSpaceDE/>
              <w:autoSpaceDN/>
              <w:bidi w:val="0"/>
              <w:snapToGrid/>
              <w:spacing w:line="288" w:lineRule="auto"/>
              <w:jc w:val="center"/>
              <w:textAlignment w:val="auto"/>
              <w:rPr>
                <w:rFonts w:hint="eastAsia" w:ascii="宋体" w:hAnsi="宋体" w:cs="宋体"/>
                <w:kern w:val="0"/>
                <w:sz w:val="24"/>
                <w:lang w:val="en-US" w:eastAsia="zh-CN"/>
              </w:rPr>
            </w:pPr>
            <w:r>
              <w:rPr>
                <w:rFonts w:hint="eastAsia" w:ascii="宋体" w:hAnsi="宋体" w:cs="宋体"/>
                <w:kern w:val="0"/>
                <w:sz w:val="24"/>
                <w:lang w:val="en-US" w:eastAsia="zh-CN"/>
              </w:rPr>
              <w:t>17.969</w:t>
            </w:r>
          </w:p>
        </w:tc>
      </w:tr>
      <w:tr w14:paraId="75FDB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543" w:type="dxa"/>
            <w:tcBorders>
              <w:top w:val="single" w:color="auto" w:sz="4" w:space="0"/>
              <w:left w:val="single" w:color="auto" w:sz="18" w:space="0"/>
              <w:bottom w:val="single" w:color="auto" w:sz="18" w:space="0"/>
              <w:right w:val="single" w:color="auto" w:sz="4" w:space="0"/>
            </w:tcBorders>
            <w:vAlign w:val="center"/>
          </w:tcPr>
          <w:p w14:paraId="28A644AB">
            <w:pPr>
              <w:keepNext w:val="0"/>
              <w:keepLines w:val="0"/>
              <w:pageBreakBefore w:val="0"/>
              <w:kinsoku/>
              <w:wordWrap/>
              <w:overflowPunct/>
              <w:topLinePunct w:val="0"/>
              <w:autoSpaceDE/>
              <w:autoSpaceDN/>
              <w:bidi w:val="0"/>
              <w:snapToGrid/>
              <w:spacing w:line="288" w:lineRule="auto"/>
              <w:jc w:val="center"/>
              <w:textAlignment w:val="auto"/>
              <w:rPr>
                <w:rFonts w:hint="eastAsia" w:ascii="宋体" w:hAnsi="宋体" w:eastAsia="宋体" w:cs="宋体"/>
                <w:kern w:val="0"/>
                <w:sz w:val="24"/>
                <w:lang w:val="en-US" w:eastAsia="zh-CN"/>
              </w:rPr>
            </w:pPr>
            <w:r>
              <w:rPr>
                <w:rFonts w:hint="eastAsia" w:ascii="宋体" w:hAnsi="宋体" w:cs="宋体"/>
                <w:kern w:val="0"/>
                <w:sz w:val="24"/>
                <w:lang w:val="en-US" w:eastAsia="zh-CN"/>
              </w:rPr>
              <w:t>6</w:t>
            </w:r>
          </w:p>
        </w:tc>
        <w:tc>
          <w:tcPr>
            <w:tcW w:w="4536" w:type="dxa"/>
            <w:tcBorders>
              <w:top w:val="single" w:color="auto" w:sz="4" w:space="0"/>
              <w:left w:val="single" w:color="auto" w:sz="4" w:space="0"/>
              <w:bottom w:val="single" w:color="auto" w:sz="18" w:space="0"/>
              <w:right w:val="single" w:color="auto" w:sz="4" w:space="0"/>
            </w:tcBorders>
            <w:vAlign w:val="center"/>
          </w:tcPr>
          <w:p w14:paraId="2CD237CA">
            <w:pPr>
              <w:keepNext w:val="0"/>
              <w:keepLines w:val="0"/>
              <w:pageBreakBefore w:val="0"/>
              <w:kinsoku/>
              <w:wordWrap/>
              <w:overflowPunct/>
              <w:topLinePunct w:val="0"/>
              <w:autoSpaceDE/>
              <w:autoSpaceDN/>
              <w:bidi w:val="0"/>
              <w:snapToGrid/>
              <w:spacing w:line="288"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新建直径0.6米圆管涵</w:t>
            </w:r>
          </w:p>
        </w:tc>
        <w:tc>
          <w:tcPr>
            <w:tcW w:w="1843" w:type="dxa"/>
            <w:tcBorders>
              <w:top w:val="single" w:color="auto" w:sz="4" w:space="0"/>
              <w:left w:val="single" w:color="auto" w:sz="4" w:space="0"/>
              <w:bottom w:val="single" w:color="auto" w:sz="18" w:space="0"/>
              <w:right w:val="single" w:color="auto" w:sz="4" w:space="0"/>
            </w:tcBorders>
            <w:vAlign w:val="center"/>
          </w:tcPr>
          <w:p w14:paraId="08DAA27A">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lang w:val="en-US" w:eastAsia="zh-CN"/>
              </w:rPr>
              <w:t>道/</w:t>
            </w:r>
            <w:r>
              <w:rPr>
                <w:rFonts w:hint="eastAsia" w:ascii="宋体" w:hAnsi="宋体" w:cs="宋体"/>
                <w:kern w:val="0"/>
                <w:sz w:val="24"/>
              </w:rPr>
              <w:t>米</w:t>
            </w:r>
          </w:p>
        </w:tc>
        <w:tc>
          <w:tcPr>
            <w:tcW w:w="2693" w:type="dxa"/>
            <w:tcBorders>
              <w:top w:val="single" w:color="auto" w:sz="4" w:space="0"/>
              <w:left w:val="single" w:color="auto" w:sz="4" w:space="0"/>
              <w:bottom w:val="single" w:color="auto" w:sz="18" w:space="0"/>
              <w:right w:val="single" w:color="auto" w:sz="18" w:space="0"/>
            </w:tcBorders>
            <w:vAlign w:val="center"/>
          </w:tcPr>
          <w:p w14:paraId="65C30FCF">
            <w:pPr>
              <w:keepNext w:val="0"/>
              <w:keepLines w:val="0"/>
              <w:pageBreakBefore w:val="0"/>
              <w:kinsoku/>
              <w:wordWrap/>
              <w:overflowPunct/>
              <w:topLinePunct w:val="0"/>
              <w:autoSpaceDE/>
              <w:autoSpaceDN/>
              <w:bidi w:val="0"/>
              <w:snapToGrid/>
              <w:spacing w:line="288" w:lineRule="auto"/>
              <w:jc w:val="center"/>
              <w:textAlignment w:val="auto"/>
              <w:rPr>
                <w:rFonts w:hint="default" w:ascii="宋体" w:hAnsi="宋体" w:cs="宋体"/>
                <w:kern w:val="0"/>
                <w:sz w:val="24"/>
                <w:lang w:val="en-US"/>
              </w:rPr>
            </w:pPr>
            <w:r>
              <w:rPr>
                <w:rFonts w:hint="eastAsia" w:ascii="宋体" w:hAnsi="宋体" w:cs="宋体"/>
                <w:kern w:val="0"/>
                <w:sz w:val="24"/>
                <w:lang w:val="en-US" w:eastAsia="zh-CN"/>
              </w:rPr>
              <w:t>2/20</w:t>
            </w:r>
          </w:p>
        </w:tc>
      </w:tr>
    </w:tbl>
    <w:p w14:paraId="6D8FB5D6">
      <w:pPr>
        <w:keepNext w:val="0"/>
        <w:keepLines w:val="0"/>
        <w:pageBreakBefore w:val="0"/>
        <w:tabs>
          <w:tab w:val="left" w:pos="10440"/>
        </w:tabs>
        <w:kinsoku/>
        <w:wordWrap/>
        <w:overflowPunct/>
        <w:topLinePunct w:val="0"/>
        <w:autoSpaceDE/>
        <w:autoSpaceDN/>
        <w:bidi w:val="0"/>
        <w:adjustRightInd w:val="0"/>
        <w:snapToGrid/>
        <w:spacing w:line="288" w:lineRule="auto"/>
        <w:jc w:val="center"/>
        <w:textAlignment w:val="auto"/>
        <w:rPr>
          <w:rFonts w:ascii="宋体" w:hAnsi="宋体"/>
          <w:b/>
          <w:sz w:val="10"/>
          <w:szCs w:val="10"/>
        </w:rPr>
      </w:pPr>
    </w:p>
    <w:p w14:paraId="04960BED">
      <w:pPr>
        <w:keepNext w:val="0"/>
        <w:keepLines w:val="0"/>
        <w:pageBreakBefore w:val="0"/>
        <w:kinsoku/>
        <w:wordWrap/>
        <w:overflowPunct/>
        <w:topLinePunct w:val="0"/>
        <w:autoSpaceDE/>
        <w:autoSpaceDN/>
        <w:bidi w:val="0"/>
        <w:adjustRightInd w:val="0"/>
        <w:snapToGrid/>
        <w:spacing w:line="288" w:lineRule="auto"/>
        <w:textAlignment w:val="auto"/>
        <w:rPr>
          <w:rFonts w:ascii="宋体" w:hAnsi="宋体"/>
          <w:spacing w:val="4"/>
          <w:kern w:val="30"/>
          <w:sz w:val="24"/>
        </w:rPr>
      </w:pPr>
      <w:r>
        <w:rPr>
          <w:rFonts w:hint="eastAsia" w:ascii="宋体" w:hAnsi="宋体"/>
          <w:b/>
          <w:spacing w:val="4"/>
          <w:kern w:val="30"/>
          <w:sz w:val="24"/>
        </w:rPr>
        <w:t>三</w:t>
      </w:r>
      <w:r>
        <w:rPr>
          <w:rFonts w:hint="eastAsia" w:hAnsi="宋体" w:cs="宋体"/>
          <w:b/>
          <w:bCs/>
          <w:sz w:val="24"/>
        </w:rPr>
        <w:t>、</w:t>
      </w:r>
      <w:r>
        <w:rPr>
          <w:rFonts w:hint="eastAsia" w:ascii="宋体" w:hAnsi="宋体"/>
          <w:b/>
          <w:spacing w:val="4"/>
          <w:kern w:val="30"/>
          <w:sz w:val="24"/>
        </w:rPr>
        <w:t>沿线自然地理特征</w:t>
      </w:r>
    </w:p>
    <w:p w14:paraId="392EC605">
      <w:pPr>
        <w:keepNext w:val="0"/>
        <w:keepLines w:val="0"/>
        <w:pageBreakBefore w:val="0"/>
        <w:tabs>
          <w:tab w:val="left" w:pos="9900"/>
        </w:tabs>
        <w:kinsoku/>
        <w:wordWrap/>
        <w:overflowPunct/>
        <w:topLinePunct w:val="0"/>
        <w:autoSpaceDE/>
        <w:autoSpaceDN/>
        <w:bidi w:val="0"/>
        <w:adjustRightInd w:val="0"/>
        <w:snapToGrid/>
        <w:spacing w:line="288" w:lineRule="auto"/>
        <w:ind w:firstLine="498" w:firstLineChars="200"/>
        <w:textAlignment w:val="auto"/>
        <w:rPr>
          <w:rFonts w:ascii="宋体" w:hAnsi="宋体"/>
          <w:spacing w:val="4"/>
          <w:kern w:val="30"/>
          <w:sz w:val="24"/>
        </w:rPr>
      </w:pPr>
      <w:r>
        <w:rPr>
          <w:rFonts w:hint="eastAsia" w:ascii="宋体" w:hAnsi="宋体"/>
          <w:b/>
          <w:spacing w:val="4"/>
          <w:kern w:val="30"/>
          <w:sz w:val="24"/>
        </w:rPr>
        <w:t>3.1地形</w:t>
      </w:r>
    </w:p>
    <w:p w14:paraId="6562003D">
      <w:pPr>
        <w:keepNext w:val="0"/>
        <w:keepLines w:val="0"/>
        <w:pageBreakBefore w:val="0"/>
        <w:kinsoku/>
        <w:wordWrap/>
        <w:overflowPunct/>
        <w:topLinePunct w:val="0"/>
        <w:autoSpaceDE/>
        <w:autoSpaceDN/>
        <w:bidi w:val="0"/>
        <w:adjustRightInd w:val="0"/>
        <w:snapToGrid/>
        <w:spacing w:line="288" w:lineRule="auto"/>
        <w:ind w:firstLine="480" w:firstLineChars="200"/>
        <w:textAlignment w:val="auto"/>
        <w:rPr>
          <w:rFonts w:hint="default" w:ascii="宋体" w:hAnsi="宋体" w:cs="Arial"/>
          <w:sz w:val="24"/>
          <w:shd w:val="clear" w:color="auto" w:fill="FFFFFF"/>
        </w:rPr>
      </w:pPr>
      <w:r>
        <w:rPr>
          <w:rFonts w:hint="default" w:ascii="宋体" w:hAnsi="宋体" w:cs="Arial"/>
          <w:sz w:val="24"/>
          <w:shd w:val="clear" w:color="auto" w:fill="FFFFFF"/>
        </w:rPr>
        <w:t>长岭县地形东南高、西北低，由东南向西北逐渐倾斜，平均比降为1/1300。海拔145米至270米，地势平坦。</w:t>
      </w:r>
    </w:p>
    <w:p w14:paraId="2E394EE9">
      <w:pPr>
        <w:keepNext w:val="0"/>
        <w:keepLines w:val="0"/>
        <w:pageBreakBefore w:val="0"/>
        <w:kinsoku/>
        <w:wordWrap/>
        <w:overflowPunct/>
        <w:topLinePunct w:val="0"/>
        <w:autoSpaceDE/>
        <w:autoSpaceDN/>
        <w:bidi w:val="0"/>
        <w:adjustRightInd w:val="0"/>
        <w:snapToGrid/>
        <w:spacing w:line="288" w:lineRule="auto"/>
        <w:ind w:firstLine="498" w:firstLineChars="200"/>
        <w:textAlignment w:val="auto"/>
        <w:rPr>
          <w:rFonts w:ascii="宋体" w:hAnsi="宋体"/>
          <w:b/>
          <w:spacing w:val="4"/>
          <w:kern w:val="30"/>
          <w:sz w:val="24"/>
        </w:rPr>
      </w:pPr>
      <w:r>
        <w:rPr>
          <w:rFonts w:hint="eastAsia" w:ascii="宋体" w:hAnsi="宋体"/>
          <w:b/>
          <w:spacing w:val="4"/>
          <w:kern w:val="30"/>
          <w:sz w:val="24"/>
        </w:rPr>
        <w:t>3.2气象</w:t>
      </w:r>
    </w:p>
    <w:p w14:paraId="64706B5F">
      <w:pPr>
        <w:keepNext w:val="0"/>
        <w:keepLines w:val="0"/>
        <w:pageBreakBefore w:val="0"/>
        <w:kinsoku/>
        <w:wordWrap/>
        <w:overflowPunct/>
        <w:topLinePunct w:val="0"/>
        <w:autoSpaceDE/>
        <w:autoSpaceDN/>
        <w:bidi w:val="0"/>
        <w:adjustRightInd w:val="0"/>
        <w:snapToGrid/>
        <w:spacing w:line="288" w:lineRule="auto"/>
        <w:ind w:firstLine="496" w:firstLineChars="200"/>
        <w:textAlignment w:val="auto"/>
        <w:rPr>
          <w:rFonts w:hint="default" w:ascii="宋体" w:hAnsi="宋体"/>
          <w:spacing w:val="4"/>
          <w:kern w:val="30"/>
          <w:sz w:val="24"/>
        </w:rPr>
      </w:pPr>
      <w:r>
        <w:rPr>
          <w:rFonts w:hint="eastAsia" w:ascii="宋体" w:hAnsi="宋体"/>
          <w:spacing w:val="4"/>
          <w:kern w:val="30"/>
          <w:sz w:val="24"/>
        </w:rPr>
        <w:t>全县属中温带半湿润半干燥区,年平均气温为4.9℃,10℃以上有效积温2919℃,年平均降水量470毫米,无霜期一般在140天左右,具备农林牧综合发展的基本条件</w:t>
      </w:r>
      <w:r>
        <w:rPr>
          <w:rFonts w:hint="default" w:ascii="宋体" w:hAnsi="宋体"/>
          <w:spacing w:val="4"/>
          <w:kern w:val="30"/>
          <w:sz w:val="24"/>
        </w:rPr>
        <w:t>。</w:t>
      </w:r>
    </w:p>
    <w:p w14:paraId="261BFB67">
      <w:pPr>
        <w:keepNext w:val="0"/>
        <w:keepLines w:val="0"/>
        <w:pageBreakBefore w:val="0"/>
        <w:kinsoku/>
        <w:wordWrap/>
        <w:overflowPunct/>
        <w:topLinePunct w:val="0"/>
        <w:autoSpaceDE/>
        <w:autoSpaceDN/>
        <w:bidi w:val="0"/>
        <w:adjustRightInd w:val="0"/>
        <w:snapToGrid/>
        <w:spacing w:line="288" w:lineRule="auto"/>
        <w:ind w:firstLine="498" w:firstLineChars="200"/>
        <w:textAlignment w:val="auto"/>
        <w:rPr>
          <w:rFonts w:ascii="宋体" w:hAnsi="宋体"/>
          <w:b/>
          <w:spacing w:val="4"/>
          <w:kern w:val="30"/>
          <w:sz w:val="24"/>
        </w:rPr>
      </w:pPr>
      <w:r>
        <w:rPr>
          <w:rFonts w:hint="eastAsia" w:ascii="宋体" w:hAnsi="宋体"/>
          <w:b/>
          <w:spacing w:val="4"/>
          <w:kern w:val="30"/>
          <w:sz w:val="24"/>
        </w:rPr>
        <w:t>3.3地震</w:t>
      </w:r>
    </w:p>
    <w:p w14:paraId="7727A23E">
      <w:pPr>
        <w:keepNext w:val="0"/>
        <w:keepLines w:val="0"/>
        <w:pageBreakBefore w:val="0"/>
        <w:kinsoku/>
        <w:wordWrap/>
        <w:overflowPunct/>
        <w:topLinePunct w:val="0"/>
        <w:autoSpaceDE/>
        <w:autoSpaceDN/>
        <w:bidi w:val="0"/>
        <w:adjustRightInd w:val="0"/>
        <w:snapToGrid/>
        <w:spacing w:line="288" w:lineRule="auto"/>
        <w:ind w:firstLine="496" w:firstLineChars="200"/>
        <w:textAlignment w:val="auto"/>
        <w:rPr>
          <w:rFonts w:ascii="宋体" w:hAnsi="宋体"/>
          <w:spacing w:val="4"/>
          <w:kern w:val="30"/>
          <w:sz w:val="24"/>
        </w:rPr>
      </w:pPr>
      <w:r>
        <w:rPr>
          <w:rFonts w:hint="eastAsia" w:ascii="宋体" w:hAnsi="宋体"/>
          <w:spacing w:val="4"/>
          <w:kern w:val="30"/>
          <w:sz w:val="24"/>
        </w:rPr>
        <w:t>根据国家地震局和建设部发布的《中国地震动参数区划图》（GB 18306—2015）及吉林省抗震防灾办公室与吉林省建筑设计院编制的《吉林省地震动参数区划图》，该项目所经地区震动峰值为0.05g（地震基本烈度为Ⅵ区），区域稳定性较好。</w:t>
      </w:r>
    </w:p>
    <w:p w14:paraId="71434861">
      <w:pPr>
        <w:keepNext w:val="0"/>
        <w:keepLines w:val="0"/>
        <w:pageBreakBefore w:val="0"/>
        <w:kinsoku/>
        <w:wordWrap/>
        <w:overflowPunct/>
        <w:topLinePunct w:val="0"/>
        <w:autoSpaceDE/>
        <w:autoSpaceDN/>
        <w:bidi w:val="0"/>
        <w:adjustRightInd w:val="0"/>
        <w:snapToGrid/>
        <w:spacing w:line="288" w:lineRule="auto"/>
        <w:ind w:firstLine="498" w:firstLineChars="200"/>
        <w:textAlignment w:val="auto"/>
        <w:rPr>
          <w:rFonts w:ascii="宋体" w:hAnsi="宋体"/>
          <w:b/>
          <w:spacing w:val="4"/>
          <w:kern w:val="30"/>
          <w:sz w:val="24"/>
        </w:rPr>
      </w:pPr>
      <w:r>
        <w:rPr>
          <w:rFonts w:hint="eastAsia" w:ascii="宋体" w:hAnsi="宋体"/>
          <w:b/>
          <w:spacing w:val="4"/>
          <w:kern w:val="30"/>
          <w:sz w:val="24"/>
        </w:rPr>
        <w:t>3.4项目建设的必要性</w:t>
      </w:r>
    </w:p>
    <w:p w14:paraId="11BB805A">
      <w:pPr>
        <w:keepNext w:val="0"/>
        <w:keepLines w:val="0"/>
        <w:pageBreakBefore w:val="0"/>
        <w:kinsoku/>
        <w:wordWrap/>
        <w:overflowPunct/>
        <w:topLinePunct w:val="0"/>
        <w:autoSpaceDE/>
        <w:autoSpaceDN/>
        <w:bidi w:val="0"/>
        <w:adjustRightInd w:val="0"/>
        <w:snapToGrid/>
        <w:spacing w:line="288" w:lineRule="auto"/>
        <w:ind w:right="53" w:rightChars="25" w:firstLine="496" w:firstLineChars="200"/>
        <w:textAlignment w:val="auto"/>
        <w:rPr>
          <w:rFonts w:hint="eastAsia" w:ascii="宋体" w:hAnsi="宋体"/>
          <w:color w:val="0000FF"/>
          <w:spacing w:val="4"/>
          <w:sz w:val="24"/>
        </w:rPr>
      </w:pPr>
      <w:r>
        <w:rPr>
          <w:rFonts w:hint="eastAsia" w:hAnsi="宋体" w:cs="宋体"/>
          <w:color w:val="0000FF"/>
          <w:spacing w:val="4"/>
          <w:sz w:val="24"/>
          <w:szCs w:val="24"/>
          <w:lang w:eastAsia="zh-CN"/>
        </w:rPr>
        <w:t>种马场</w:t>
      </w:r>
      <w:r>
        <w:rPr>
          <w:rFonts w:hint="eastAsia" w:ascii="宋体" w:hAnsi="宋体"/>
          <w:color w:val="0000FF"/>
          <w:spacing w:val="4"/>
          <w:sz w:val="24"/>
        </w:rPr>
        <w:t>本次设计道路现为</w:t>
      </w:r>
      <w:r>
        <w:rPr>
          <w:rFonts w:hint="eastAsia" w:ascii="宋体" w:hAnsi="宋体"/>
          <w:color w:val="0000FF"/>
          <w:spacing w:val="4"/>
          <w:sz w:val="24"/>
          <w:lang w:val="en-US" w:eastAsia="zh-CN"/>
        </w:rPr>
        <w:t>水泥</w:t>
      </w:r>
      <w:r>
        <w:rPr>
          <w:rFonts w:hint="eastAsia" w:ascii="宋体" w:hAnsi="宋体"/>
          <w:color w:val="0000FF"/>
          <w:spacing w:val="4"/>
          <w:sz w:val="24"/>
        </w:rPr>
        <w:t>路面，原路路</w:t>
      </w:r>
      <w:r>
        <w:rPr>
          <w:rFonts w:hint="eastAsia" w:ascii="宋体" w:hAnsi="宋体"/>
          <w:color w:val="0000FF"/>
          <w:spacing w:val="4"/>
          <w:sz w:val="24"/>
          <w:lang w:val="en-US" w:eastAsia="zh-CN"/>
        </w:rPr>
        <w:t>面</w:t>
      </w:r>
      <w:r>
        <w:rPr>
          <w:rFonts w:hint="eastAsia" w:ascii="宋体" w:hAnsi="宋体"/>
          <w:color w:val="0000FF"/>
          <w:spacing w:val="4"/>
          <w:sz w:val="24"/>
        </w:rPr>
        <w:t>宽度为</w:t>
      </w:r>
      <w:r>
        <w:rPr>
          <w:rFonts w:hint="eastAsia" w:ascii="宋体" w:hAnsi="宋体"/>
          <w:color w:val="0000FF"/>
          <w:spacing w:val="4"/>
          <w:sz w:val="24"/>
          <w:lang w:val="en-US" w:eastAsia="zh-CN"/>
        </w:rPr>
        <w:t>4.5</w:t>
      </w:r>
      <w:r>
        <w:rPr>
          <w:rFonts w:hint="eastAsia" w:ascii="宋体" w:hAnsi="宋体"/>
          <w:color w:val="0000FF"/>
          <w:spacing w:val="4"/>
          <w:sz w:val="24"/>
        </w:rPr>
        <w:t>米，</w:t>
      </w:r>
      <w:r>
        <w:rPr>
          <w:rFonts w:hint="eastAsia" w:ascii="宋体" w:hAnsi="宋体" w:cs="宋体"/>
          <w:color w:val="0000FF"/>
          <w:spacing w:val="4"/>
          <w:sz w:val="24"/>
        </w:rPr>
        <w:t>现有道路已使用多年，路基、路面等都出现不同程度的损坏，使用功能明显下降</w:t>
      </w:r>
      <w:r>
        <w:rPr>
          <w:rFonts w:hint="eastAsia" w:ascii="宋体" w:hAnsi="宋体" w:cs="宋体"/>
          <w:color w:val="0000FF"/>
          <w:spacing w:val="4"/>
          <w:sz w:val="24"/>
          <w:lang w:eastAsia="zh-CN"/>
        </w:rPr>
        <w:t>，</w:t>
      </w:r>
      <w:r>
        <w:rPr>
          <w:rFonts w:hint="eastAsia" w:ascii="宋体" w:hAnsi="宋体" w:cs="宋体"/>
          <w:color w:val="0000FF"/>
          <w:spacing w:val="4"/>
          <w:sz w:val="24"/>
        </w:rPr>
        <w:t>大部分路面破损严重，行车颠簸，因缺乏必要的管理和养护，路况较差，</w:t>
      </w:r>
      <w:r>
        <w:rPr>
          <w:rFonts w:hint="eastAsia" w:ascii="宋体" w:hAnsi="宋体" w:cs="宋体"/>
          <w:color w:val="auto"/>
          <w:sz w:val="24"/>
        </w:rPr>
        <w:t>部分路段出现磨损露骨、裂缝、破碎板等病害</w:t>
      </w:r>
      <w:r>
        <w:rPr>
          <w:rFonts w:hint="eastAsia" w:ascii="宋体" w:hAnsi="宋体" w:cs="宋体"/>
          <w:color w:val="auto"/>
          <w:sz w:val="24"/>
          <w:lang w:eastAsia="zh-CN"/>
        </w:rPr>
        <w:t>，</w:t>
      </w:r>
      <w:r>
        <w:rPr>
          <w:rFonts w:hint="eastAsia" w:ascii="宋体" w:hAnsi="宋体"/>
          <w:color w:val="0000FF"/>
          <w:spacing w:val="4"/>
          <w:sz w:val="24"/>
        </w:rPr>
        <w:t>行车难、行路难已成为制约当地经济发展的瓶颈。项目建成后可使</w:t>
      </w:r>
      <w:r>
        <w:rPr>
          <w:rFonts w:hint="eastAsia" w:ascii="宋体" w:hAnsi="宋体"/>
          <w:color w:val="0000FF"/>
          <w:spacing w:val="4"/>
          <w:sz w:val="24"/>
          <w:highlight w:val="none"/>
          <w:lang w:val="en-US" w:eastAsia="zh-CN"/>
        </w:rPr>
        <w:t>3910</w:t>
      </w:r>
      <w:r>
        <w:rPr>
          <w:rFonts w:hint="eastAsia" w:ascii="宋体" w:hAnsi="宋体"/>
          <w:color w:val="0000FF"/>
          <w:spacing w:val="4"/>
          <w:sz w:val="24"/>
        </w:rPr>
        <w:t>人受益，其中移民</w:t>
      </w:r>
      <w:r>
        <w:rPr>
          <w:rFonts w:hint="eastAsia" w:ascii="宋体" w:hAnsi="宋体" w:cs="宋体"/>
          <w:color w:val="0000FF"/>
          <w:spacing w:val="4"/>
          <w:kern w:val="30"/>
          <w:sz w:val="24"/>
          <w:highlight w:val="none"/>
          <w:lang w:val="en-US" w:eastAsia="zh-CN"/>
        </w:rPr>
        <w:t>1574</w:t>
      </w:r>
      <w:r>
        <w:rPr>
          <w:rFonts w:hint="eastAsia" w:ascii="宋体" w:hAnsi="宋体"/>
          <w:color w:val="0000FF"/>
          <w:spacing w:val="4"/>
          <w:sz w:val="24"/>
        </w:rPr>
        <w:t>人。因此，为了方便公路沿线地区居民出行和经济发展，必需改善现有的交通运输环境。</w:t>
      </w:r>
    </w:p>
    <w:p w14:paraId="7C71BDFE">
      <w:pPr>
        <w:keepNext w:val="0"/>
        <w:keepLines w:val="0"/>
        <w:pageBreakBefore w:val="0"/>
        <w:kinsoku/>
        <w:wordWrap/>
        <w:overflowPunct/>
        <w:topLinePunct w:val="0"/>
        <w:autoSpaceDE/>
        <w:autoSpaceDN/>
        <w:bidi w:val="0"/>
        <w:adjustRightInd w:val="0"/>
        <w:snapToGrid/>
        <w:spacing w:line="288" w:lineRule="auto"/>
        <w:ind w:firstLine="498" w:firstLineChars="200"/>
        <w:textAlignment w:val="auto"/>
        <w:rPr>
          <w:rFonts w:hint="eastAsia" w:ascii="宋体" w:hAnsi="宋体"/>
          <w:b/>
          <w:spacing w:val="4"/>
          <w:kern w:val="30"/>
          <w:sz w:val="24"/>
          <w:lang w:val="en-US" w:eastAsia="zh-CN"/>
        </w:rPr>
      </w:pPr>
      <w:r>
        <w:rPr>
          <w:rFonts w:hint="eastAsia" w:ascii="宋体" w:hAnsi="宋体"/>
          <w:b/>
          <w:spacing w:val="4"/>
          <w:kern w:val="30"/>
          <w:sz w:val="24"/>
          <w:lang w:val="en-US" w:eastAsia="zh-CN"/>
        </w:rPr>
        <w:t>3.5项目建设的可行性</w:t>
      </w:r>
    </w:p>
    <w:p w14:paraId="6144FF6C">
      <w:pPr>
        <w:keepNext w:val="0"/>
        <w:keepLines w:val="0"/>
        <w:pageBreakBefore w:val="0"/>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val="en-US" w:eastAsia="zh-CN"/>
        </w:rPr>
      </w:pPr>
      <w:r>
        <w:rPr>
          <w:rFonts w:hint="eastAsia" w:ascii="宋体" w:hAnsi="宋体"/>
          <w:spacing w:val="4"/>
          <w:kern w:val="30"/>
          <w:sz w:val="24"/>
          <w:lang w:val="en-US" w:eastAsia="zh-CN"/>
        </w:rPr>
        <w:t>1、沿线群众盼望早日改善道路行车状况，该项目从根本上改善当地交通条件，满足群众多年的夙愿，当地群众将积极拥护并大力支持项目建设，踊跃为项目建设提供便利条件。</w:t>
      </w:r>
    </w:p>
    <w:p w14:paraId="69352843">
      <w:pPr>
        <w:keepNext w:val="0"/>
        <w:keepLines w:val="0"/>
        <w:pageBreakBefore w:val="0"/>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val="en-US" w:eastAsia="zh-CN"/>
        </w:rPr>
      </w:pPr>
      <w:r>
        <w:rPr>
          <w:rFonts w:hint="eastAsia" w:ascii="宋体" w:hAnsi="宋体"/>
          <w:spacing w:val="4"/>
          <w:kern w:val="30"/>
          <w:sz w:val="24"/>
          <w:lang w:val="en-US" w:eastAsia="zh-CN"/>
        </w:rPr>
        <w:t>2、群众积极性很高，劳动力资源丰富，可以满足全部建设用工的需求。</w:t>
      </w:r>
    </w:p>
    <w:p w14:paraId="7005155F">
      <w:pPr>
        <w:keepNext w:val="0"/>
        <w:keepLines w:val="0"/>
        <w:pageBreakBefore w:val="0"/>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rPr>
      </w:pPr>
      <w:r>
        <w:rPr>
          <w:rFonts w:hint="eastAsia" w:ascii="宋体" w:hAnsi="宋体"/>
          <w:spacing w:val="4"/>
          <w:kern w:val="30"/>
          <w:sz w:val="24"/>
          <w:lang w:val="en-US" w:eastAsia="zh-CN"/>
        </w:rPr>
        <w:t>3、该项目道路路基条件较好，现有路基可满足项目施工要求，对周围环境不产生影响既可减少资源和占地，又可加快工程进度；建材丰富，主材可就近购买，供应有保障。</w:t>
      </w:r>
    </w:p>
    <w:p w14:paraId="12F34F76">
      <w:pPr>
        <w:pStyle w:val="3"/>
        <w:keepNext w:val="0"/>
        <w:keepLines w:val="0"/>
        <w:pageBreakBefore w:val="0"/>
        <w:kinsoku/>
        <w:wordWrap/>
        <w:overflowPunct/>
        <w:topLinePunct w:val="0"/>
        <w:autoSpaceDE/>
        <w:autoSpaceDN/>
        <w:bidi w:val="0"/>
        <w:snapToGrid/>
        <w:spacing w:line="288" w:lineRule="auto"/>
        <w:textAlignment w:val="auto"/>
        <w:outlineLvl w:val="0"/>
        <w:rPr>
          <w:rFonts w:hAnsi="宋体" w:cs="宋体"/>
          <w:b/>
          <w:bCs/>
          <w:sz w:val="24"/>
          <w:szCs w:val="24"/>
        </w:rPr>
      </w:pPr>
      <w:r>
        <w:rPr>
          <w:rFonts w:hint="eastAsia" w:hAnsi="宋体"/>
          <w:b/>
          <w:spacing w:val="4"/>
          <w:sz w:val="24"/>
          <w:szCs w:val="24"/>
        </w:rPr>
        <w:t>四</w:t>
      </w:r>
      <w:r>
        <w:rPr>
          <w:rFonts w:hint="eastAsia" w:hAnsi="宋体" w:cs="宋体"/>
          <w:b/>
          <w:bCs/>
          <w:sz w:val="24"/>
          <w:szCs w:val="24"/>
        </w:rPr>
        <w:t>、设计方案</w:t>
      </w:r>
    </w:p>
    <w:p w14:paraId="266B74C2">
      <w:pPr>
        <w:pStyle w:val="3"/>
        <w:keepNext w:val="0"/>
        <w:keepLines w:val="0"/>
        <w:pageBreakBefore w:val="0"/>
        <w:kinsoku/>
        <w:wordWrap/>
        <w:overflowPunct/>
        <w:topLinePunct w:val="0"/>
        <w:autoSpaceDE/>
        <w:autoSpaceDN/>
        <w:bidi w:val="0"/>
        <w:snapToGrid/>
        <w:spacing w:line="288" w:lineRule="auto"/>
        <w:ind w:firstLine="482" w:firstLineChars="200"/>
        <w:textAlignment w:val="auto"/>
        <w:rPr>
          <w:rFonts w:hAnsi="宋体" w:cs="宋体"/>
          <w:b/>
          <w:bCs/>
          <w:sz w:val="24"/>
          <w:szCs w:val="24"/>
        </w:rPr>
      </w:pPr>
      <w:r>
        <w:rPr>
          <w:rFonts w:hAnsi="宋体" w:cs="宋体"/>
          <w:b/>
          <w:bCs/>
          <w:sz w:val="24"/>
          <w:szCs w:val="24"/>
        </w:rPr>
        <w:t>4</w:t>
      </w:r>
      <w:r>
        <w:rPr>
          <w:rFonts w:hint="eastAsia" w:hAnsi="宋体" w:cs="宋体"/>
          <w:b/>
          <w:bCs/>
          <w:sz w:val="24"/>
          <w:szCs w:val="24"/>
        </w:rPr>
        <w:t>.1路线设计</w:t>
      </w:r>
    </w:p>
    <w:p w14:paraId="3235C1A2">
      <w:pPr>
        <w:keepNext w:val="0"/>
        <w:keepLines w:val="0"/>
        <w:pageBreakBefore w:val="0"/>
        <w:kinsoku/>
        <w:wordWrap/>
        <w:overflowPunct/>
        <w:topLinePunct w:val="0"/>
        <w:autoSpaceDE/>
        <w:autoSpaceDN/>
        <w:bidi w:val="0"/>
        <w:adjustRightInd w:val="0"/>
        <w:snapToGrid/>
        <w:spacing w:line="288" w:lineRule="auto"/>
        <w:ind w:right="53" w:rightChars="25" w:firstLine="496" w:firstLineChars="200"/>
        <w:textAlignment w:val="auto"/>
        <w:rPr>
          <w:rFonts w:ascii="宋体" w:hAnsi="宋体"/>
          <w:b/>
          <w:spacing w:val="4"/>
          <w:sz w:val="24"/>
        </w:rPr>
      </w:pPr>
      <w:r>
        <w:rPr>
          <w:rFonts w:hint="eastAsia" w:ascii="宋体" w:hAnsi="宋体"/>
          <w:spacing w:val="4"/>
          <w:sz w:val="24"/>
        </w:rPr>
        <w:t>本次路线线形以综合考虑平 、纵 、横三者关系，恰当地掌握标准并注意与周围地形 、景观相配合，在布设路线时利用原有路基中线，平面线形由直线、圆曲线组成。</w:t>
      </w:r>
    </w:p>
    <w:p w14:paraId="2BA157F3">
      <w:pPr>
        <w:keepNext w:val="0"/>
        <w:keepLines w:val="0"/>
        <w:pageBreakBefore w:val="0"/>
        <w:kinsoku/>
        <w:wordWrap/>
        <w:overflowPunct/>
        <w:topLinePunct w:val="0"/>
        <w:autoSpaceDE/>
        <w:autoSpaceDN/>
        <w:bidi w:val="0"/>
        <w:adjustRightInd w:val="0"/>
        <w:snapToGrid/>
        <w:spacing w:line="288" w:lineRule="auto"/>
        <w:ind w:right="53" w:rightChars="25" w:firstLine="496" w:firstLineChars="200"/>
        <w:textAlignment w:val="auto"/>
        <w:rPr>
          <w:rFonts w:ascii="宋体" w:hAnsi="宋体"/>
          <w:spacing w:val="4"/>
          <w:sz w:val="24"/>
        </w:rPr>
      </w:pPr>
      <w:r>
        <w:rPr>
          <w:rFonts w:hint="eastAsia" w:ascii="宋体" w:hAnsi="宋体"/>
          <w:spacing w:val="4"/>
          <w:sz w:val="24"/>
        </w:rPr>
        <w:t>本段</w:t>
      </w:r>
      <w:r>
        <w:rPr>
          <w:rFonts w:hint="eastAsia" w:ascii="宋体" w:hAnsi="宋体"/>
          <w:spacing w:val="4"/>
          <w:sz w:val="24"/>
          <w:lang w:val="en-US" w:eastAsia="zh-CN"/>
        </w:rPr>
        <w:t>采用1985国家高程基准</w:t>
      </w:r>
      <w:r>
        <w:rPr>
          <w:rFonts w:hint="eastAsia" w:ascii="宋体" w:hAnsi="宋体"/>
          <w:spacing w:val="4"/>
          <w:sz w:val="24"/>
        </w:rPr>
        <w:t>，纵断面设计标高为路面中心标高。</w:t>
      </w:r>
    </w:p>
    <w:p w14:paraId="278B60D5">
      <w:pPr>
        <w:pStyle w:val="3"/>
        <w:keepNext w:val="0"/>
        <w:keepLines w:val="0"/>
        <w:pageBreakBefore w:val="0"/>
        <w:kinsoku/>
        <w:wordWrap/>
        <w:overflowPunct/>
        <w:topLinePunct w:val="0"/>
        <w:autoSpaceDE/>
        <w:autoSpaceDN/>
        <w:bidi w:val="0"/>
        <w:snapToGrid/>
        <w:spacing w:line="288" w:lineRule="auto"/>
        <w:ind w:firstLine="482" w:firstLineChars="200"/>
        <w:textAlignment w:val="auto"/>
        <w:rPr>
          <w:rFonts w:hAnsi="宋体" w:cs="宋体"/>
          <w:b/>
          <w:bCs/>
          <w:sz w:val="24"/>
          <w:szCs w:val="24"/>
        </w:rPr>
      </w:pPr>
      <w:r>
        <w:rPr>
          <w:rFonts w:hAnsi="宋体" w:cs="宋体"/>
          <w:b/>
          <w:bCs/>
          <w:sz w:val="24"/>
          <w:szCs w:val="24"/>
        </w:rPr>
        <w:t>4</w:t>
      </w:r>
      <w:r>
        <w:rPr>
          <w:rFonts w:hint="eastAsia" w:hAnsi="宋体" w:cs="宋体"/>
          <w:b/>
          <w:bCs/>
          <w:sz w:val="24"/>
          <w:szCs w:val="24"/>
        </w:rPr>
        <w:t>.2路基横断面设计</w:t>
      </w:r>
    </w:p>
    <w:p w14:paraId="7198F69C">
      <w:pPr>
        <w:pStyle w:val="3"/>
        <w:keepNext w:val="0"/>
        <w:keepLines w:val="0"/>
        <w:pageBreakBefore w:val="0"/>
        <w:kinsoku/>
        <w:wordWrap/>
        <w:overflowPunct/>
        <w:topLinePunct w:val="0"/>
        <w:autoSpaceDE/>
        <w:autoSpaceDN/>
        <w:bidi w:val="0"/>
        <w:snapToGrid/>
        <w:spacing w:line="288" w:lineRule="auto"/>
        <w:ind w:firstLine="480" w:firstLineChars="200"/>
        <w:textAlignment w:val="auto"/>
        <w:outlineLvl w:val="0"/>
        <w:rPr>
          <w:rFonts w:hint="eastAsia" w:hAnsi="宋体" w:eastAsia="宋体" w:cs="宋体"/>
          <w:color w:val="0000FF"/>
          <w:sz w:val="24"/>
          <w:szCs w:val="24"/>
          <w:lang w:val="en-US" w:eastAsia="zh-CN"/>
        </w:rPr>
      </w:pPr>
      <w:r>
        <w:rPr>
          <w:rFonts w:hint="eastAsia" w:hAnsi="宋体" w:cs="宋体"/>
          <w:color w:val="0000FF"/>
          <w:sz w:val="24"/>
          <w:szCs w:val="24"/>
        </w:rPr>
        <w:t>本项目为农村公路建设项目，原旧路路面宽度为</w:t>
      </w:r>
      <w:r>
        <w:rPr>
          <w:rFonts w:hint="eastAsia" w:hAnsi="宋体" w:cs="宋体"/>
          <w:color w:val="0000FF"/>
          <w:sz w:val="24"/>
          <w:szCs w:val="24"/>
          <w:lang w:val="en-US" w:eastAsia="zh-CN"/>
        </w:rPr>
        <w:t>4.5</w:t>
      </w:r>
      <w:r>
        <w:rPr>
          <w:rFonts w:hint="eastAsia" w:hAnsi="宋体" w:cs="宋体"/>
          <w:color w:val="0000FF"/>
          <w:sz w:val="24"/>
          <w:szCs w:val="24"/>
        </w:rPr>
        <w:t>米，土路肩宽度2×0.5米，路面横坡为1.</w:t>
      </w:r>
      <w:r>
        <w:rPr>
          <w:rFonts w:hint="eastAsia" w:hAnsi="宋体" w:cs="宋体"/>
          <w:color w:val="0000FF"/>
          <w:sz w:val="24"/>
          <w:szCs w:val="24"/>
          <w:lang w:val="en-US" w:eastAsia="zh-CN"/>
        </w:rPr>
        <w:t>0</w:t>
      </w:r>
      <w:r>
        <w:rPr>
          <w:rFonts w:hint="eastAsia" w:hAnsi="宋体" w:cs="宋体"/>
          <w:color w:val="0000FF"/>
          <w:sz w:val="24"/>
          <w:szCs w:val="24"/>
        </w:rPr>
        <w:t>%，土路肩横坡为2.5%。</w:t>
      </w:r>
      <w:r>
        <w:rPr>
          <w:rFonts w:hint="eastAsia" w:hAnsi="宋体" w:cs="宋体"/>
          <w:color w:val="0000FF"/>
          <w:sz w:val="24"/>
          <w:szCs w:val="24"/>
          <w:lang w:val="en-US" w:eastAsia="zh-CN"/>
        </w:rPr>
        <w:t>新建道路按原路标准执行，</w:t>
      </w:r>
      <w:r>
        <w:rPr>
          <w:rFonts w:hint="eastAsia" w:hAnsi="宋体" w:cs="宋体"/>
          <w:color w:val="0000FF"/>
          <w:sz w:val="24"/>
          <w:szCs w:val="24"/>
        </w:rPr>
        <w:t>路面宽度为</w:t>
      </w:r>
      <w:r>
        <w:rPr>
          <w:rFonts w:hint="eastAsia" w:hAnsi="宋体" w:cs="宋体"/>
          <w:color w:val="0000FF"/>
          <w:sz w:val="24"/>
          <w:szCs w:val="24"/>
          <w:lang w:val="en-US" w:eastAsia="zh-CN"/>
        </w:rPr>
        <w:t>4.5</w:t>
      </w:r>
      <w:r>
        <w:rPr>
          <w:rFonts w:hint="eastAsia" w:hAnsi="宋体" w:cs="宋体"/>
          <w:color w:val="0000FF"/>
          <w:sz w:val="24"/>
          <w:szCs w:val="24"/>
        </w:rPr>
        <w:t>米，土路肩宽度2×0.5米，路面横坡为1.</w:t>
      </w:r>
      <w:r>
        <w:rPr>
          <w:rFonts w:hint="eastAsia" w:hAnsi="宋体" w:cs="宋体"/>
          <w:color w:val="0000FF"/>
          <w:sz w:val="24"/>
          <w:szCs w:val="24"/>
          <w:lang w:val="en-US" w:eastAsia="zh-CN"/>
        </w:rPr>
        <w:t>0</w:t>
      </w:r>
      <w:r>
        <w:rPr>
          <w:rFonts w:hint="eastAsia" w:hAnsi="宋体" w:cs="宋体"/>
          <w:color w:val="0000FF"/>
          <w:sz w:val="24"/>
          <w:szCs w:val="24"/>
        </w:rPr>
        <w:t>%，土路肩横坡为2.5%</w:t>
      </w:r>
      <w:r>
        <w:rPr>
          <w:rFonts w:hint="eastAsia" w:hAnsi="宋体" w:cs="宋体"/>
          <w:color w:val="0000FF"/>
          <w:sz w:val="24"/>
          <w:szCs w:val="24"/>
          <w:lang w:eastAsia="zh-CN"/>
        </w:rPr>
        <w:t>。</w:t>
      </w:r>
    </w:p>
    <w:p w14:paraId="5D7561F6">
      <w:pPr>
        <w:pStyle w:val="3"/>
        <w:keepNext w:val="0"/>
        <w:keepLines w:val="0"/>
        <w:pageBreakBefore w:val="0"/>
        <w:kinsoku/>
        <w:wordWrap/>
        <w:overflowPunct/>
        <w:topLinePunct w:val="0"/>
        <w:autoSpaceDE/>
        <w:autoSpaceDN/>
        <w:bidi w:val="0"/>
        <w:snapToGrid/>
        <w:spacing w:line="288" w:lineRule="auto"/>
        <w:ind w:firstLine="482" w:firstLineChars="200"/>
        <w:textAlignment w:val="auto"/>
        <w:rPr>
          <w:rFonts w:hAnsi="宋体" w:cs="宋体"/>
          <w:b/>
          <w:bCs/>
          <w:sz w:val="24"/>
          <w:szCs w:val="24"/>
        </w:rPr>
      </w:pPr>
      <w:r>
        <w:rPr>
          <w:rFonts w:hAnsi="宋体" w:cs="宋体"/>
          <w:b/>
          <w:bCs/>
          <w:sz w:val="24"/>
          <w:szCs w:val="24"/>
        </w:rPr>
        <w:t>4</w:t>
      </w:r>
      <w:r>
        <w:rPr>
          <w:rFonts w:hint="eastAsia" w:hAnsi="宋体" w:cs="宋体"/>
          <w:b/>
          <w:bCs/>
          <w:sz w:val="24"/>
          <w:szCs w:val="24"/>
        </w:rPr>
        <w:t>.3路基、路面排水系统</w:t>
      </w:r>
    </w:p>
    <w:p w14:paraId="461465E2">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本项目以自然排水为主，根据沿线地形、地势、地貌、原有边沟将水流引入桥涵处，排离路基范围以外；路面排水由路面横、纵坡将水排离路肩，使雨水漫流排至路基范围以外。</w:t>
      </w:r>
    </w:p>
    <w:p w14:paraId="5026CA5B">
      <w:pPr>
        <w:pStyle w:val="3"/>
        <w:keepNext w:val="0"/>
        <w:keepLines w:val="0"/>
        <w:pageBreakBefore w:val="0"/>
        <w:kinsoku/>
        <w:wordWrap/>
        <w:overflowPunct/>
        <w:topLinePunct w:val="0"/>
        <w:autoSpaceDE/>
        <w:autoSpaceDN/>
        <w:bidi w:val="0"/>
        <w:snapToGrid/>
        <w:spacing w:line="288" w:lineRule="auto"/>
        <w:ind w:firstLine="482" w:firstLineChars="200"/>
        <w:textAlignment w:val="auto"/>
        <w:outlineLvl w:val="0"/>
        <w:rPr>
          <w:rFonts w:hAnsi="宋体" w:cs="宋体"/>
          <w:b/>
          <w:bCs/>
          <w:sz w:val="24"/>
          <w:szCs w:val="24"/>
        </w:rPr>
      </w:pPr>
      <w:r>
        <w:rPr>
          <w:rFonts w:hAnsi="宋体" w:cs="宋体"/>
          <w:b/>
          <w:bCs/>
          <w:sz w:val="24"/>
          <w:szCs w:val="24"/>
        </w:rPr>
        <w:t>4</w:t>
      </w:r>
      <w:r>
        <w:rPr>
          <w:rFonts w:hint="eastAsia" w:hAnsi="宋体" w:cs="宋体"/>
          <w:b/>
          <w:bCs/>
          <w:sz w:val="24"/>
          <w:szCs w:val="24"/>
        </w:rPr>
        <w:t>.</w:t>
      </w:r>
      <w:r>
        <w:rPr>
          <w:rFonts w:hint="eastAsia" w:hAnsi="宋体" w:cs="宋体"/>
          <w:b/>
          <w:bCs/>
          <w:sz w:val="24"/>
          <w:szCs w:val="24"/>
          <w:lang w:val="en-US" w:eastAsia="zh-CN"/>
        </w:rPr>
        <w:t>4</w:t>
      </w:r>
      <w:r>
        <w:rPr>
          <w:rFonts w:hint="eastAsia" w:hAnsi="宋体" w:cs="宋体"/>
          <w:b/>
          <w:bCs/>
          <w:sz w:val="24"/>
          <w:szCs w:val="24"/>
        </w:rPr>
        <w:t>面维修、设计方案</w:t>
      </w:r>
    </w:p>
    <w:p w14:paraId="169DE825">
      <w:pPr>
        <w:pStyle w:val="3"/>
        <w:keepNext w:val="0"/>
        <w:keepLines w:val="0"/>
        <w:pageBreakBefore w:val="0"/>
        <w:kinsoku/>
        <w:wordWrap/>
        <w:overflowPunct/>
        <w:topLinePunct w:val="0"/>
        <w:autoSpaceDE/>
        <w:autoSpaceDN/>
        <w:bidi w:val="0"/>
        <w:snapToGrid/>
        <w:spacing w:line="288" w:lineRule="auto"/>
        <w:ind w:firstLine="482" w:firstLineChars="200"/>
        <w:textAlignment w:val="auto"/>
        <w:outlineLvl w:val="0"/>
        <w:rPr>
          <w:rFonts w:hAnsi="宋体" w:cs="宋体"/>
          <w:b/>
          <w:bCs/>
          <w:sz w:val="24"/>
          <w:szCs w:val="24"/>
        </w:rPr>
      </w:pPr>
      <w:r>
        <w:rPr>
          <w:rFonts w:hAnsi="宋体" w:cs="宋体"/>
          <w:b/>
          <w:bCs/>
          <w:sz w:val="24"/>
          <w:szCs w:val="24"/>
        </w:rPr>
        <w:t>4</w:t>
      </w:r>
      <w:r>
        <w:rPr>
          <w:rFonts w:hint="eastAsia" w:hAnsi="宋体" w:cs="宋体"/>
          <w:b/>
          <w:bCs/>
          <w:sz w:val="24"/>
          <w:szCs w:val="24"/>
        </w:rPr>
        <w:t>.</w:t>
      </w:r>
      <w:r>
        <w:rPr>
          <w:rFonts w:hint="eastAsia" w:hAnsi="宋体" w:cs="宋体"/>
          <w:b/>
          <w:bCs/>
          <w:sz w:val="24"/>
          <w:szCs w:val="24"/>
          <w:lang w:val="en-US" w:eastAsia="zh-CN"/>
        </w:rPr>
        <w:t>4</w:t>
      </w:r>
      <w:r>
        <w:rPr>
          <w:rFonts w:hint="eastAsia" w:hAnsi="宋体" w:cs="宋体"/>
          <w:b/>
          <w:bCs/>
          <w:sz w:val="24"/>
          <w:szCs w:val="24"/>
        </w:rPr>
        <w:t>.1设计原则</w:t>
      </w:r>
    </w:p>
    <w:p w14:paraId="545867B3">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(1)、保持和改善路面的使用功能，确保路面应有的耐久性；</w:t>
      </w:r>
    </w:p>
    <w:p w14:paraId="67998FF2">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(2)、保持和改善路面行车的安全性、舒适性，确保路面的行驶性能；</w:t>
      </w:r>
    </w:p>
    <w:p w14:paraId="51EAC0D9">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(3)、防止因路面的损坏和养护操作不当而污染沿线的环境；</w:t>
      </w:r>
    </w:p>
    <w:p w14:paraId="0E3FDC35">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(4)、平面线形沿用原有线形，纵断线形根据补强厚度予以设计。</w:t>
      </w:r>
    </w:p>
    <w:p w14:paraId="089E82DC">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bookmarkStart w:id="0" w:name="_Hlk55220622"/>
      <w:bookmarkEnd w:id="0"/>
      <w:r>
        <w:rPr>
          <w:rFonts w:ascii="宋体" w:hAnsi="宋体" w:cs="宋体"/>
          <w:sz w:val="24"/>
        </w:rPr>
        <w:pict>
          <v:shape id="文本框 111" o:spid="_x0000_s1080" o:spt="202" type="#_x0000_t202" style="position:absolute;left:0pt;margin-left:975.65pt;margin-top:-705.6pt;height:63pt;width:81pt;z-index:251660288;mso-width-relative:page;mso-height-relative:page;" filled="f" stroked="f" coordsize="21600,21600">
            <v:path/>
            <v:fill on="f" focussize="0,0"/>
            <v:stroke on="f" joinstyle="miter"/>
            <v:imagedata o:title=""/>
            <o:lock v:ext="edit"/>
            <v:textbox>
              <w:txbxContent>
                <w:p w14:paraId="40361F71">
                  <w:pPr>
                    <w:rPr>
                      <w:rFonts w:ascii="宋体" w:hAnsi="宋体"/>
                      <w:b/>
                      <w:sz w:val="32"/>
                    </w:rPr>
                  </w:pPr>
                  <w:r>
                    <w:rPr>
                      <w:rFonts w:hint="eastAsia" w:ascii="宋体" w:hAnsi="宋体"/>
                      <w:b/>
                      <w:sz w:val="32"/>
                    </w:rPr>
                    <w:t>004</w:t>
                  </w:r>
                </w:p>
                <w:p w14:paraId="0D34008D">
                  <w:pPr>
                    <w:rPr>
                      <w:rFonts w:ascii="宋体" w:hAnsi="宋体"/>
                      <w:b/>
                      <w:sz w:val="24"/>
                    </w:rPr>
                  </w:pPr>
                  <w:r>
                    <w:rPr>
                      <w:rFonts w:hint="eastAsia" w:ascii="宋体" w:hAnsi="宋体"/>
                      <w:b/>
                      <w:sz w:val="24"/>
                    </w:rPr>
                    <w:t>S1-2</w:t>
                  </w:r>
                </w:p>
              </w:txbxContent>
            </v:textbox>
          </v:shape>
        </w:pict>
      </w:r>
      <w:r>
        <w:rPr>
          <w:rFonts w:hint="eastAsia" w:ascii="宋体" w:hAnsi="宋体" w:cs="宋体"/>
          <w:sz w:val="24"/>
        </w:rPr>
        <w:t>(5)、充分考虑交通量中重载交通的比重较大的客观因素，在路面结构设计中预留一定的强度储备；</w:t>
      </w:r>
    </w:p>
    <w:p w14:paraId="77FCDB16">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(6)、全线按一次性完全修复设计。</w:t>
      </w:r>
    </w:p>
    <w:p w14:paraId="1F7C1B36">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根据上述原则和沿线路面使用状况调查资料，并根据路面状况指数确定维修方案。</w:t>
      </w:r>
    </w:p>
    <w:p w14:paraId="7307DAAC">
      <w:pPr>
        <w:pStyle w:val="3"/>
        <w:keepNext w:val="0"/>
        <w:keepLines w:val="0"/>
        <w:pageBreakBefore w:val="0"/>
        <w:kinsoku/>
        <w:wordWrap/>
        <w:overflowPunct/>
        <w:topLinePunct w:val="0"/>
        <w:autoSpaceDE/>
        <w:autoSpaceDN/>
        <w:bidi w:val="0"/>
        <w:snapToGrid/>
        <w:spacing w:line="288" w:lineRule="auto"/>
        <w:ind w:firstLine="482" w:firstLineChars="200"/>
        <w:textAlignment w:val="auto"/>
        <w:outlineLvl w:val="0"/>
        <w:rPr>
          <w:rFonts w:hAnsi="宋体" w:cs="宋体"/>
          <w:b/>
          <w:bCs/>
          <w:sz w:val="24"/>
          <w:szCs w:val="24"/>
        </w:rPr>
      </w:pPr>
      <w:r>
        <w:rPr>
          <w:rFonts w:hAnsi="宋体" w:cs="宋体"/>
          <w:b/>
          <w:bCs/>
          <w:sz w:val="24"/>
          <w:szCs w:val="24"/>
        </w:rPr>
        <w:t>4</w:t>
      </w:r>
      <w:r>
        <w:rPr>
          <w:rFonts w:hint="eastAsia" w:hAnsi="宋体" w:cs="宋体"/>
          <w:b/>
          <w:bCs/>
          <w:sz w:val="24"/>
          <w:szCs w:val="24"/>
        </w:rPr>
        <w:t>.</w:t>
      </w:r>
      <w:r>
        <w:rPr>
          <w:rFonts w:hint="eastAsia" w:hAnsi="宋体" w:cs="宋体"/>
          <w:b/>
          <w:bCs/>
          <w:sz w:val="24"/>
          <w:szCs w:val="24"/>
          <w:lang w:val="en-US" w:eastAsia="zh-CN"/>
        </w:rPr>
        <w:t>4</w:t>
      </w:r>
      <w:r>
        <w:rPr>
          <w:rFonts w:hint="eastAsia" w:hAnsi="宋体" w:cs="宋体"/>
          <w:b/>
          <w:bCs/>
          <w:sz w:val="24"/>
          <w:szCs w:val="24"/>
        </w:rPr>
        <w:t>.2现有公路状况及维修设计方案</w:t>
      </w:r>
    </w:p>
    <w:p w14:paraId="7550A5DF">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根据上述原则和沿线路面使用状况调查资料，本着因地制宜、合理选材、降低造价、便于施工的原则，对现有路面质量进行评价，并根据路面状况评价指标等确定维修方案。根据本次对沿线的路况调查、路况评价，确定采用方案如下；</w:t>
      </w:r>
    </w:p>
    <w:p w14:paraId="4AB2784E">
      <w:pPr>
        <w:keepNext w:val="0"/>
        <w:keepLines w:val="0"/>
        <w:pageBreakBefore w:val="0"/>
        <w:tabs>
          <w:tab w:val="left" w:pos="10440"/>
        </w:tabs>
        <w:kinsoku/>
        <w:wordWrap/>
        <w:overflowPunct/>
        <w:topLinePunct w:val="0"/>
        <w:autoSpaceDE/>
        <w:autoSpaceDN/>
        <w:bidi w:val="0"/>
        <w:adjustRightInd w:val="0"/>
        <w:snapToGrid/>
        <w:spacing w:line="288" w:lineRule="auto"/>
        <w:ind w:firstLine="484" w:firstLineChars="202"/>
        <w:jc w:val="left"/>
        <w:textAlignment w:val="auto"/>
        <w:rPr>
          <w:rFonts w:ascii="宋体" w:hAnsi="宋体" w:cs="宋体"/>
          <w:sz w:val="24"/>
        </w:rPr>
      </w:pPr>
      <w:r>
        <w:rPr>
          <w:rFonts w:hint="eastAsia" w:ascii="宋体" w:hAnsi="宋体" w:cs="宋体"/>
          <w:sz w:val="24"/>
        </w:rPr>
        <w:t>1</w:t>
      </w:r>
      <w:r>
        <w:rPr>
          <w:rFonts w:ascii="宋体" w:hAnsi="宋体" w:cs="宋体"/>
          <w:sz w:val="24"/>
        </w:rPr>
        <w:t>.</w:t>
      </w:r>
      <w:r>
        <w:rPr>
          <w:rFonts w:hint="eastAsia" w:ascii="宋体" w:hAnsi="宋体" w:cs="宋体"/>
          <w:sz w:val="24"/>
        </w:rPr>
        <w:t>罩面段：原有水泥路作为基层，</w:t>
      </w:r>
      <w:r>
        <w:rPr>
          <w:rFonts w:hint="eastAsia" w:ascii="宋体" w:hAnsi="宋体" w:cs="宋体"/>
          <w:sz w:val="24"/>
          <w:lang w:val="en-US" w:eastAsia="zh-CN"/>
        </w:rPr>
        <w:t>铣刨2cm原路面，</w:t>
      </w:r>
      <w:r>
        <w:rPr>
          <w:rFonts w:hint="eastAsia" w:ascii="宋体" w:hAnsi="宋体" w:cs="宋体"/>
          <w:sz w:val="24"/>
        </w:rPr>
        <w:t>上部铺设</w:t>
      </w:r>
      <w:r>
        <w:rPr>
          <w:rFonts w:hint="eastAsia" w:ascii="宋体" w:hAnsi="宋体" w:cs="宋体"/>
          <w:sz w:val="24"/>
          <w:lang w:val="en-US" w:eastAsia="zh-CN"/>
        </w:rPr>
        <w:t>5.0</w:t>
      </w:r>
      <w:r>
        <w:rPr>
          <w:rFonts w:hint="eastAsia" w:ascii="宋体" w:hAnsi="宋体" w:cs="宋体"/>
          <w:sz w:val="24"/>
        </w:rPr>
        <w:t>cmAC-1</w:t>
      </w:r>
      <w:r>
        <w:rPr>
          <w:rFonts w:hint="eastAsia" w:ascii="宋体" w:hAnsi="宋体" w:cs="宋体"/>
          <w:sz w:val="24"/>
          <w:lang w:val="en-US" w:eastAsia="zh-CN"/>
        </w:rPr>
        <w:t>6中</w:t>
      </w:r>
      <w:r>
        <w:rPr>
          <w:rFonts w:hint="eastAsia" w:ascii="宋体" w:hAnsi="宋体" w:cs="宋体"/>
          <w:sz w:val="24"/>
        </w:rPr>
        <w:t>粒式沥青混凝土面层，0.5cmAC-1</w:t>
      </w:r>
      <w:r>
        <w:rPr>
          <w:rFonts w:hint="eastAsia" w:ascii="宋体" w:hAnsi="宋体" w:cs="宋体"/>
          <w:sz w:val="24"/>
          <w:lang w:val="en-US" w:eastAsia="zh-CN"/>
        </w:rPr>
        <w:t>6中</w:t>
      </w:r>
      <w:r>
        <w:rPr>
          <w:rFonts w:hint="eastAsia" w:ascii="宋体" w:hAnsi="宋体" w:cs="宋体"/>
          <w:sz w:val="24"/>
        </w:rPr>
        <w:t>粒式沥青混凝调平层。</w:t>
      </w:r>
    </w:p>
    <w:p w14:paraId="5A7AF539">
      <w:pPr>
        <w:keepNext w:val="0"/>
        <w:keepLines w:val="0"/>
        <w:pageBreakBefore w:val="0"/>
        <w:kinsoku/>
        <w:wordWrap/>
        <w:overflowPunct/>
        <w:topLinePunct w:val="0"/>
        <w:autoSpaceDE/>
        <w:autoSpaceDN/>
        <w:bidi w:val="0"/>
        <w:snapToGrid/>
        <w:spacing w:line="288" w:lineRule="auto"/>
        <w:jc w:val="center"/>
        <w:textAlignment w:val="auto"/>
        <w:rPr>
          <w:rFonts w:hint="eastAsia" w:ascii="宋体" w:hAnsi="宋体" w:eastAsia="宋体" w:cs="宋体"/>
          <w:szCs w:val="28"/>
          <w:lang w:eastAsia="zh-CN"/>
        </w:rPr>
      </w:pPr>
      <w:r>
        <w:rPr>
          <w:rFonts w:hint="eastAsia" w:ascii="宋体" w:hAnsi="宋体" w:eastAsia="宋体" w:cs="宋体"/>
          <w:szCs w:val="28"/>
          <w:lang w:eastAsia="zh-CN"/>
        </w:rPr>
        <w:drawing>
          <wp:anchor distT="0" distB="0" distL="114300" distR="114300" simplePos="0" relativeHeight="251664384" behindDoc="0" locked="0" layoutInCell="1" allowOverlap="1">
            <wp:simplePos x="0" y="0"/>
            <wp:positionH relativeFrom="column">
              <wp:posOffset>2727325</wp:posOffset>
            </wp:positionH>
            <wp:positionV relativeFrom="paragraph">
              <wp:posOffset>54610</wp:posOffset>
            </wp:positionV>
            <wp:extent cx="3556000" cy="3261995"/>
            <wp:effectExtent l="0" t="0" r="6350" b="14605"/>
            <wp:wrapTopAndBottom/>
            <wp:docPr id="3" name="图片 3" descr="IMG_20241218_10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0241218_102043"/>
                    <pic:cNvPicPr>
                      <a:picLocks noChangeAspect="1"/>
                    </pic:cNvPicPr>
                  </pic:nvPicPr>
                  <pic:blipFill>
                    <a:blip r:embed="rId6"/>
                    <a:stretch>
                      <a:fillRect/>
                    </a:stretch>
                  </pic:blipFill>
                  <pic:spPr>
                    <a:xfrm>
                      <a:off x="0" y="0"/>
                      <a:ext cx="3556000" cy="3261995"/>
                    </a:xfrm>
                    <a:prstGeom prst="rect">
                      <a:avLst/>
                    </a:prstGeom>
                  </pic:spPr>
                </pic:pic>
              </a:graphicData>
            </a:graphic>
          </wp:anchor>
        </w:drawing>
      </w:r>
    </w:p>
    <w:p w14:paraId="21E54693">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sz w:val="28"/>
          <w:szCs w:val="28"/>
        </w:rPr>
      </w:pPr>
      <w:r>
        <w:rPr>
          <w:rFonts w:hint="eastAsia" w:ascii="宋体" w:hAnsi="宋体" w:cs="宋体"/>
          <w:sz w:val="28"/>
          <w:szCs w:val="28"/>
        </w:rPr>
        <w:t>原路面影像资料</w:t>
      </w:r>
    </w:p>
    <w:p w14:paraId="372E6063">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通过对沿线电力、电讯的调查，其净空均满足规范要求。</w:t>
      </w:r>
    </w:p>
    <w:p w14:paraId="3FBA23FD">
      <w:pPr>
        <w:pStyle w:val="3"/>
        <w:keepNext w:val="0"/>
        <w:keepLines w:val="0"/>
        <w:pageBreakBefore w:val="0"/>
        <w:kinsoku/>
        <w:wordWrap/>
        <w:overflowPunct/>
        <w:topLinePunct w:val="0"/>
        <w:autoSpaceDE/>
        <w:autoSpaceDN/>
        <w:bidi w:val="0"/>
        <w:snapToGrid/>
        <w:spacing w:line="288" w:lineRule="auto"/>
        <w:ind w:firstLine="482" w:firstLineChars="200"/>
        <w:textAlignment w:val="auto"/>
        <w:rPr>
          <w:rFonts w:hAnsi="宋体" w:cs="宋体"/>
          <w:b/>
          <w:bCs/>
          <w:sz w:val="24"/>
          <w:szCs w:val="24"/>
        </w:rPr>
      </w:pPr>
      <w:r>
        <w:rPr>
          <w:rFonts w:hAnsi="宋体" w:cs="宋体"/>
          <w:b/>
          <w:bCs/>
          <w:sz w:val="24"/>
          <w:szCs w:val="24"/>
        </w:rPr>
        <w:t>4</w:t>
      </w:r>
      <w:r>
        <w:rPr>
          <w:rFonts w:hint="eastAsia" w:hAnsi="宋体" w:cs="宋体"/>
          <w:b/>
          <w:bCs/>
          <w:sz w:val="24"/>
          <w:szCs w:val="24"/>
        </w:rPr>
        <w:t>.</w:t>
      </w:r>
      <w:r>
        <w:rPr>
          <w:rFonts w:hint="eastAsia" w:hAnsi="宋体" w:cs="宋体"/>
          <w:b/>
          <w:bCs/>
          <w:sz w:val="24"/>
          <w:szCs w:val="24"/>
          <w:lang w:val="en-US" w:eastAsia="zh-CN"/>
        </w:rPr>
        <w:t>4</w:t>
      </w:r>
      <w:r>
        <w:rPr>
          <w:rFonts w:hint="eastAsia" w:hAnsi="宋体" w:cs="宋体"/>
          <w:b/>
          <w:bCs/>
          <w:sz w:val="24"/>
          <w:szCs w:val="24"/>
        </w:rPr>
        <w:t>.3病害处理</w:t>
      </w:r>
    </w:p>
    <w:p w14:paraId="10B785A9">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ascii="宋体" w:hAnsi="宋体" w:cs="宋体"/>
          <w:sz w:val="24"/>
        </w:rPr>
        <w:pict>
          <v:shape id="文本框 112" o:spid="_x0000_s1082" o:spt="202" type="#_x0000_t202" style="position:absolute;left:0pt;margin-left:991.55pt;margin-top:-704.75pt;height:63pt;width:81pt;z-index:251659264;mso-width-relative:page;mso-height-relative:page;" filled="f" stroked="f" coordsize="21600,21600">
            <v:path/>
            <v:fill on="f" focussize="0,0"/>
            <v:stroke on="f" joinstyle="miter"/>
            <v:imagedata o:title=""/>
            <o:lock v:ext="edit"/>
            <v:textbox>
              <w:txbxContent>
                <w:p w14:paraId="63229C8D">
                  <w:pPr>
                    <w:rPr>
                      <w:rFonts w:ascii="宋体" w:hAnsi="宋体"/>
                      <w:b/>
                      <w:sz w:val="32"/>
                    </w:rPr>
                  </w:pPr>
                  <w:r>
                    <w:rPr>
                      <w:rFonts w:hint="eastAsia" w:ascii="宋体" w:hAnsi="宋体"/>
                      <w:b/>
                      <w:sz w:val="32"/>
                    </w:rPr>
                    <w:t>005</w:t>
                  </w:r>
                </w:p>
                <w:p w14:paraId="4A7B627C">
                  <w:pPr>
                    <w:rPr>
                      <w:rFonts w:ascii="宋体" w:hAnsi="宋体"/>
                      <w:b/>
                      <w:sz w:val="24"/>
                    </w:rPr>
                  </w:pPr>
                  <w:r>
                    <w:rPr>
                      <w:rFonts w:hint="eastAsia" w:ascii="宋体" w:hAnsi="宋体"/>
                      <w:b/>
                      <w:sz w:val="24"/>
                    </w:rPr>
                    <w:t>S1-2</w:t>
                  </w:r>
                </w:p>
              </w:txbxContent>
            </v:textbox>
          </v:shape>
        </w:pict>
      </w:r>
      <w:r>
        <w:rPr>
          <w:rFonts w:hint="eastAsia" w:ascii="宋体" w:hAnsi="宋体" w:cs="宋体"/>
          <w:sz w:val="24"/>
        </w:rPr>
        <w:t>施工前，应对原有公路路面病害进行处理。根据《公路养护技术规范》（JTGH10-2009）、《公路水泥混凝土路面设计规范》（JTG D40-2015），我公司对路面的破损情况进行详细的调查，并根据调查结果进行定量分析，最后确定路面维修方案及病害处理的设计原则。</w:t>
      </w:r>
    </w:p>
    <w:p w14:paraId="06EA408C">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路面病害处理：</w:t>
      </w:r>
    </w:p>
    <w:p w14:paraId="39874E59">
      <w:pPr>
        <w:keepNext w:val="0"/>
        <w:keepLines w:val="0"/>
        <w:pageBreakBefore w:val="0"/>
        <w:kinsoku/>
        <w:wordWrap/>
        <w:overflowPunct/>
        <w:topLinePunct w:val="0"/>
        <w:autoSpaceDE/>
        <w:autoSpaceDN/>
        <w:bidi w:val="0"/>
        <w:snapToGrid/>
        <w:spacing w:line="288" w:lineRule="auto"/>
        <w:ind w:firstLine="480" w:firstLineChars="200"/>
        <w:textAlignment w:val="auto"/>
        <w:rPr>
          <w:rFonts w:hint="eastAsia" w:ascii="宋体" w:hAnsi="宋体" w:cs="宋体"/>
          <w:color w:val="auto"/>
          <w:sz w:val="24"/>
        </w:rPr>
      </w:pPr>
      <w:r>
        <w:rPr>
          <w:rFonts w:hint="eastAsia" w:ascii="宋体" w:hAnsi="宋体" w:cs="宋体"/>
          <w:color w:val="auto"/>
          <w:sz w:val="24"/>
          <w:lang w:eastAsia="zh-CN"/>
        </w:rPr>
        <w:t>破碎板</w:t>
      </w:r>
      <w:r>
        <w:rPr>
          <w:rFonts w:hint="eastAsia" w:ascii="宋体" w:hAnsi="宋体" w:cs="宋体"/>
          <w:color w:val="auto"/>
          <w:sz w:val="24"/>
        </w:rPr>
        <w:t>类：拆除原有20cm水泥混凝土面层，重新铺筑20cm水泥稳定砂砾(5:95)基层。</w:t>
      </w:r>
    </w:p>
    <w:p w14:paraId="1657F932">
      <w:pPr>
        <w:keepNext w:val="0"/>
        <w:keepLines w:val="0"/>
        <w:pageBreakBefore w:val="0"/>
        <w:kinsoku/>
        <w:wordWrap/>
        <w:overflowPunct/>
        <w:topLinePunct w:val="0"/>
        <w:autoSpaceDE/>
        <w:autoSpaceDN/>
        <w:bidi w:val="0"/>
        <w:snapToGrid/>
        <w:spacing w:line="288" w:lineRule="auto"/>
        <w:ind w:firstLine="480" w:firstLineChars="200"/>
        <w:textAlignment w:val="auto"/>
        <w:rPr>
          <w:rFonts w:hint="eastAsia" w:ascii="宋体" w:hAnsi="宋体" w:eastAsia="宋体" w:cs="宋体"/>
          <w:color w:val="0000FF"/>
          <w:sz w:val="24"/>
          <w:lang w:eastAsia="zh-CN"/>
        </w:rPr>
      </w:pPr>
      <w:r>
        <w:rPr>
          <w:rFonts w:hint="eastAsia" w:ascii="宋体" w:hAnsi="宋体" w:cs="宋体"/>
          <w:color w:val="0000FF"/>
          <w:sz w:val="24"/>
        </w:rPr>
        <w:t>纵向裂缝：清除缝内杂物,采用沥青砂填缝，</w:t>
      </w:r>
      <w:r>
        <w:rPr>
          <w:rFonts w:hint="eastAsia" w:ascii="宋体" w:hAnsi="宋体" w:cs="宋体"/>
          <w:color w:val="0000FF"/>
          <w:sz w:val="24"/>
          <w:lang w:val="en-US" w:eastAsia="zh-CN"/>
        </w:rPr>
        <w:t>并</w:t>
      </w:r>
      <w:r>
        <w:rPr>
          <w:rFonts w:hint="eastAsia" w:ascii="宋体" w:hAnsi="宋体" w:cs="宋体"/>
          <w:color w:val="0000FF"/>
          <w:sz w:val="24"/>
        </w:rPr>
        <w:t>铺设</w:t>
      </w:r>
      <w:r>
        <w:rPr>
          <w:rFonts w:hint="eastAsia" w:ascii="宋体" w:hAnsi="宋体" w:cs="宋体"/>
          <w:color w:val="0000FF"/>
          <w:sz w:val="24"/>
          <w:lang w:val="en-US" w:eastAsia="zh-CN"/>
        </w:rPr>
        <w:t>1米宽</w:t>
      </w:r>
      <w:r>
        <w:rPr>
          <w:rFonts w:hint="eastAsia" w:ascii="宋体" w:hAnsi="宋体" w:cs="宋体"/>
          <w:color w:val="0000FF"/>
          <w:sz w:val="24"/>
        </w:rPr>
        <w:t>土工格栅</w:t>
      </w:r>
      <w:r>
        <w:rPr>
          <w:rFonts w:hint="eastAsia" w:ascii="宋体" w:hAnsi="宋体" w:cs="宋体"/>
          <w:color w:val="0000FF"/>
          <w:sz w:val="24"/>
          <w:lang w:eastAsia="zh-CN"/>
        </w:rPr>
        <w:t>。</w:t>
      </w:r>
    </w:p>
    <w:p w14:paraId="54CBEEB9">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color w:val="0000FF"/>
          <w:sz w:val="24"/>
        </w:rPr>
      </w:pPr>
      <w:r>
        <w:rPr>
          <w:rFonts w:hint="eastAsia" w:ascii="宋体" w:hAnsi="宋体" w:cs="宋体"/>
          <w:color w:val="0000FF"/>
          <w:sz w:val="24"/>
          <w:lang w:val="en-US" w:eastAsia="zh-CN"/>
        </w:rPr>
        <w:t>铣刨后路面凹凸不平，调平</w:t>
      </w:r>
      <w:r>
        <w:rPr>
          <w:rFonts w:hint="eastAsia" w:ascii="宋体" w:hAnsi="宋体" w:cs="宋体"/>
          <w:color w:val="0000FF"/>
          <w:sz w:val="24"/>
        </w:rPr>
        <w:t>工程量</w:t>
      </w:r>
      <w:r>
        <w:rPr>
          <w:rFonts w:hint="eastAsia" w:ascii="宋体" w:hAnsi="宋体" w:cs="宋体"/>
          <w:color w:val="0000FF"/>
          <w:sz w:val="24"/>
          <w:lang w:val="en-US" w:eastAsia="zh-CN"/>
        </w:rPr>
        <w:t>已</w:t>
      </w:r>
      <w:r>
        <w:rPr>
          <w:rFonts w:hint="eastAsia" w:ascii="宋体" w:hAnsi="宋体" w:cs="宋体"/>
          <w:color w:val="0000FF"/>
          <w:sz w:val="24"/>
        </w:rPr>
        <w:t>纳入调平层中。</w:t>
      </w:r>
    </w:p>
    <w:p w14:paraId="681C018D">
      <w:pPr>
        <w:keepNext w:val="0"/>
        <w:keepLines w:val="0"/>
        <w:pageBreakBefore w:val="0"/>
        <w:kinsoku/>
        <w:wordWrap/>
        <w:overflowPunct/>
        <w:topLinePunct w:val="0"/>
        <w:autoSpaceDE/>
        <w:autoSpaceDN/>
        <w:bidi w:val="0"/>
        <w:snapToGrid/>
        <w:spacing w:line="288" w:lineRule="auto"/>
        <w:ind w:firstLine="482" w:firstLineChars="200"/>
        <w:textAlignment w:val="auto"/>
        <w:rPr>
          <w:rFonts w:ascii="宋体" w:hAnsi="宋体" w:cs="宋体"/>
          <w:b/>
          <w:bCs/>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cs="宋体"/>
          <w:b/>
          <w:bCs/>
          <w:sz w:val="24"/>
        </w:rPr>
        <w:t>.1石油沥青</w:t>
      </w:r>
    </w:p>
    <w:p w14:paraId="320A8AE2">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面层沥青采用A级90号道路石油沥青，其质量应符合《公路沥青路面施工技术规范》（JTG F40-2017）中表4.2.1-2 90号的规定，见下表。</w:t>
      </w:r>
    </w:p>
    <w:p w14:paraId="4B98EC4A">
      <w:pPr>
        <w:keepNext w:val="0"/>
        <w:keepLines w:val="0"/>
        <w:pageBreakBefore w:val="0"/>
        <w:kinsoku/>
        <w:wordWrap/>
        <w:overflowPunct/>
        <w:topLinePunct w:val="0"/>
        <w:autoSpaceDE/>
        <w:autoSpaceDN/>
        <w:bidi w:val="0"/>
        <w:snapToGrid/>
        <w:spacing w:line="288" w:lineRule="auto"/>
        <w:ind w:firstLine="480" w:firstLineChars="200"/>
        <w:jc w:val="center"/>
        <w:textAlignment w:val="auto"/>
        <w:rPr>
          <w:rFonts w:ascii="宋体" w:hAnsi="宋体"/>
          <w:bCs/>
          <w:sz w:val="24"/>
        </w:rPr>
      </w:pPr>
      <w:r>
        <w:rPr>
          <w:rFonts w:hint="eastAsia" w:ascii="宋体" w:hAnsi="宋体"/>
          <w:bCs/>
          <w:sz w:val="24"/>
        </w:rPr>
        <w:t>道路石油沥青技术要求</w:t>
      </w:r>
    </w:p>
    <w:tbl>
      <w:tblPr>
        <w:tblStyle w:val="8"/>
        <w:tblW w:w="680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056"/>
        <w:gridCol w:w="2750"/>
      </w:tblGrid>
      <w:tr w14:paraId="2084DD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54" w:hRule="atLeast"/>
          <w:jc w:val="center"/>
        </w:trPr>
        <w:tc>
          <w:tcPr>
            <w:tcW w:w="4056" w:type="dxa"/>
            <w:tcBorders>
              <w:top w:val="single" w:color="auto" w:sz="12" w:space="0"/>
              <w:bottom w:val="single" w:color="auto" w:sz="6" w:space="0"/>
            </w:tcBorders>
            <w:shd w:val="clear" w:color="auto" w:fill="auto"/>
            <w:noWrap/>
            <w:vAlign w:val="center"/>
          </w:tcPr>
          <w:p w14:paraId="0B63F1ED">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技术指标</w:t>
            </w:r>
          </w:p>
        </w:tc>
        <w:tc>
          <w:tcPr>
            <w:tcW w:w="2750" w:type="dxa"/>
            <w:tcBorders>
              <w:top w:val="single" w:color="auto" w:sz="12" w:space="0"/>
              <w:bottom w:val="single" w:color="auto" w:sz="6" w:space="0"/>
            </w:tcBorders>
            <w:shd w:val="clear" w:color="auto" w:fill="auto"/>
            <w:noWrap/>
            <w:vAlign w:val="center"/>
          </w:tcPr>
          <w:p w14:paraId="4440ED1E">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A级90号</w:t>
            </w:r>
          </w:p>
        </w:tc>
      </w:tr>
      <w:tr w14:paraId="6F50B4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056" w:type="dxa"/>
            <w:tcBorders>
              <w:top w:val="single" w:color="auto" w:sz="6" w:space="0"/>
              <w:bottom w:val="single" w:color="auto" w:sz="6" w:space="0"/>
            </w:tcBorders>
            <w:shd w:val="clear" w:color="auto" w:fill="auto"/>
            <w:noWrap/>
            <w:vAlign w:val="center"/>
          </w:tcPr>
          <w:p w14:paraId="66F1A6C3">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针入度(25℃，100g，5s)(0.1mm)</w:t>
            </w:r>
          </w:p>
        </w:tc>
        <w:tc>
          <w:tcPr>
            <w:tcW w:w="2750" w:type="dxa"/>
            <w:tcBorders>
              <w:top w:val="single" w:color="auto" w:sz="6" w:space="0"/>
              <w:bottom w:val="single" w:color="auto" w:sz="6" w:space="0"/>
            </w:tcBorders>
            <w:shd w:val="clear" w:color="auto" w:fill="auto"/>
            <w:noWrap/>
            <w:vAlign w:val="center"/>
          </w:tcPr>
          <w:p w14:paraId="791AE918">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80～100</w:t>
            </w:r>
          </w:p>
        </w:tc>
      </w:tr>
      <w:tr w14:paraId="4B225E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056" w:type="dxa"/>
            <w:tcBorders>
              <w:top w:val="single" w:color="auto" w:sz="6" w:space="0"/>
              <w:bottom w:val="single" w:color="auto" w:sz="6" w:space="0"/>
            </w:tcBorders>
            <w:shd w:val="clear" w:color="auto" w:fill="auto"/>
            <w:noWrap/>
            <w:vAlign w:val="center"/>
          </w:tcPr>
          <w:p w14:paraId="5AFDB396">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针入度指数PI</w:t>
            </w:r>
          </w:p>
        </w:tc>
        <w:tc>
          <w:tcPr>
            <w:tcW w:w="2750" w:type="dxa"/>
            <w:tcBorders>
              <w:top w:val="single" w:color="auto" w:sz="6" w:space="0"/>
              <w:bottom w:val="single" w:color="auto" w:sz="6" w:space="0"/>
            </w:tcBorders>
            <w:shd w:val="clear" w:color="auto" w:fill="auto"/>
            <w:noWrap/>
            <w:vAlign w:val="center"/>
          </w:tcPr>
          <w:p w14:paraId="2FCC1DF3">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-1.5～+1.0</w:t>
            </w:r>
          </w:p>
        </w:tc>
      </w:tr>
      <w:tr w14:paraId="70B7BD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056" w:type="dxa"/>
            <w:tcBorders>
              <w:top w:val="single" w:color="auto" w:sz="6" w:space="0"/>
              <w:bottom w:val="single" w:color="auto" w:sz="6" w:space="0"/>
            </w:tcBorders>
            <w:shd w:val="clear" w:color="auto" w:fill="auto"/>
            <w:noWrap/>
            <w:vAlign w:val="center"/>
          </w:tcPr>
          <w:p w14:paraId="6EC1FB73">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延度(10℃)，5 (cm)/min 不小于</w:t>
            </w:r>
          </w:p>
        </w:tc>
        <w:tc>
          <w:tcPr>
            <w:tcW w:w="2750" w:type="dxa"/>
            <w:tcBorders>
              <w:top w:val="single" w:color="auto" w:sz="6" w:space="0"/>
              <w:bottom w:val="single" w:color="auto" w:sz="6" w:space="0"/>
            </w:tcBorders>
            <w:shd w:val="clear" w:color="auto" w:fill="auto"/>
            <w:noWrap/>
            <w:vAlign w:val="center"/>
          </w:tcPr>
          <w:p w14:paraId="4357BC5D">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30</w:t>
            </w:r>
          </w:p>
        </w:tc>
      </w:tr>
      <w:tr w14:paraId="430794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056" w:type="dxa"/>
            <w:tcBorders>
              <w:top w:val="single" w:color="auto" w:sz="6" w:space="0"/>
              <w:bottom w:val="single" w:color="auto" w:sz="6" w:space="0"/>
            </w:tcBorders>
            <w:shd w:val="clear" w:color="auto" w:fill="auto"/>
            <w:noWrap/>
            <w:vAlign w:val="center"/>
          </w:tcPr>
          <w:p w14:paraId="16698E3B">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延度(15℃)，5 (cm)/min 不小于</w:t>
            </w:r>
          </w:p>
        </w:tc>
        <w:tc>
          <w:tcPr>
            <w:tcW w:w="2750" w:type="dxa"/>
            <w:tcBorders>
              <w:top w:val="single" w:color="auto" w:sz="6" w:space="0"/>
              <w:bottom w:val="single" w:color="auto" w:sz="6" w:space="0"/>
            </w:tcBorders>
            <w:shd w:val="clear" w:color="auto" w:fill="auto"/>
            <w:noWrap/>
            <w:vAlign w:val="center"/>
          </w:tcPr>
          <w:p w14:paraId="48BAC7B5">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100</w:t>
            </w:r>
          </w:p>
        </w:tc>
      </w:tr>
      <w:tr w14:paraId="6BC5BF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056" w:type="dxa"/>
            <w:tcBorders>
              <w:top w:val="single" w:color="auto" w:sz="6" w:space="0"/>
              <w:bottom w:val="single" w:color="auto" w:sz="6" w:space="0"/>
            </w:tcBorders>
            <w:shd w:val="clear" w:color="auto" w:fill="auto"/>
            <w:noWrap/>
            <w:vAlign w:val="center"/>
          </w:tcPr>
          <w:p w14:paraId="65B1A37E">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软化点(环球法)(℃)不小于</w:t>
            </w:r>
          </w:p>
        </w:tc>
        <w:tc>
          <w:tcPr>
            <w:tcW w:w="2750" w:type="dxa"/>
            <w:tcBorders>
              <w:top w:val="single" w:color="auto" w:sz="6" w:space="0"/>
              <w:bottom w:val="single" w:color="auto" w:sz="6" w:space="0"/>
            </w:tcBorders>
            <w:shd w:val="clear" w:color="auto" w:fill="auto"/>
            <w:noWrap/>
            <w:vAlign w:val="center"/>
          </w:tcPr>
          <w:p w14:paraId="38A699E8">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44</w:t>
            </w:r>
          </w:p>
        </w:tc>
      </w:tr>
      <w:tr w14:paraId="780FD5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056" w:type="dxa"/>
            <w:tcBorders>
              <w:top w:val="single" w:color="auto" w:sz="6" w:space="0"/>
              <w:bottom w:val="single" w:color="auto" w:sz="6" w:space="0"/>
            </w:tcBorders>
            <w:shd w:val="clear" w:color="auto" w:fill="auto"/>
            <w:noWrap/>
            <w:vAlign w:val="center"/>
          </w:tcPr>
          <w:p w14:paraId="07F026DB">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闪点不小于(℃)</w:t>
            </w:r>
          </w:p>
        </w:tc>
        <w:tc>
          <w:tcPr>
            <w:tcW w:w="2750" w:type="dxa"/>
            <w:tcBorders>
              <w:top w:val="single" w:color="auto" w:sz="6" w:space="0"/>
              <w:bottom w:val="single" w:color="auto" w:sz="6" w:space="0"/>
            </w:tcBorders>
            <w:shd w:val="clear" w:color="auto" w:fill="auto"/>
            <w:noWrap/>
            <w:vAlign w:val="center"/>
          </w:tcPr>
          <w:p w14:paraId="173422A7">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245</w:t>
            </w:r>
          </w:p>
        </w:tc>
      </w:tr>
      <w:tr w14:paraId="3305EA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056" w:type="dxa"/>
            <w:tcBorders>
              <w:top w:val="single" w:color="auto" w:sz="6" w:space="0"/>
              <w:bottom w:val="single" w:color="auto" w:sz="6" w:space="0"/>
            </w:tcBorders>
            <w:shd w:val="clear" w:color="auto" w:fill="auto"/>
            <w:noWrap/>
            <w:vAlign w:val="center"/>
          </w:tcPr>
          <w:p w14:paraId="16A522B8">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蜡含量(蒸馏法)不大于(%)</w:t>
            </w:r>
          </w:p>
        </w:tc>
        <w:tc>
          <w:tcPr>
            <w:tcW w:w="2750" w:type="dxa"/>
            <w:tcBorders>
              <w:top w:val="single" w:color="auto" w:sz="6" w:space="0"/>
              <w:bottom w:val="single" w:color="auto" w:sz="6" w:space="0"/>
            </w:tcBorders>
            <w:shd w:val="clear" w:color="auto" w:fill="auto"/>
            <w:noWrap/>
            <w:vAlign w:val="center"/>
          </w:tcPr>
          <w:p w14:paraId="28844C73">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2.2</w:t>
            </w:r>
          </w:p>
        </w:tc>
      </w:tr>
      <w:tr w14:paraId="428A0E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056" w:type="dxa"/>
            <w:tcBorders>
              <w:top w:val="single" w:color="auto" w:sz="6" w:space="0"/>
              <w:bottom w:val="single" w:color="auto" w:sz="6" w:space="0"/>
            </w:tcBorders>
            <w:shd w:val="clear" w:color="auto" w:fill="auto"/>
            <w:vAlign w:val="center"/>
          </w:tcPr>
          <w:p w14:paraId="258467A9">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溶解度(三氯乙烯)不小于(%)</w:t>
            </w:r>
          </w:p>
        </w:tc>
        <w:tc>
          <w:tcPr>
            <w:tcW w:w="2750" w:type="dxa"/>
            <w:tcBorders>
              <w:top w:val="single" w:color="auto" w:sz="6" w:space="0"/>
              <w:bottom w:val="single" w:color="auto" w:sz="6" w:space="0"/>
            </w:tcBorders>
            <w:shd w:val="clear" w:color="auto" w:fill="auto"/>
            <w:noWrap/>
            <w:vAlign w:val="center"/>
          </w:tcPr>
          <w:p w14:paraId="678EF18F">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99.5</w:t>
            </w:r>
          </w:p>
        </w:tc>
      </w:tr>
      <w:tr w14:paraId="734D1A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056" w:type="dxa"/>
            <w:tcBorders>
              <w:top w:val="single" w:color="auto" w:sz="6" w:space="0"/>
              <w:bottom w:val="single" w:color="auto" w:sz="6" w:space="0"/>
            </w:tcBorders>
            <w:shd w:val="clear" w:color="auto" w:fill="auto"/>
            <w:vAlign w:val="center"/>
          </w:tcPr>
          <w:p w14:paraId="292EDAFE">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质量变化不大于(%)</w:t>
            </w:r>
          </w:p>
        </w:tc>
        <w:tc>
          <w:tcPr>
            <w:tcW w:w="2750" w:type="dxa"/>
            <w:tcBorders>
              <w:top w:val="single" w:color="auto" w:sz="6" w:space="0"/>
              <w:bottom w:val="single" w:color="auto" w:sz="6" w:space="0"/>
            </w:tcBorders>
            <w:shd w:val="clear" w:color="auto" w:fill="auto"/>
            <w:noWrap/>
            <w:vAlign w:val="center"/>
          </w:tcPr>
          <w:p w14:paraId="10666CDC">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±0.8</w:t>
            </w:r>
          </w:p>
        </w:tc>
      </w:tr>
      <w:tr w14:paraId="49D614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056" w:type="dxa"/>
            <w:tcBorders>
              <w:top w:val="single" w:color="auto" w:sz="6" w:space="0"/>
              <w:bottom w:val="single" w:color="auto" w:sz="6" w:space="0"/>
            </w:tcBorders>
            <w:shd w:val="clear" w:color="auto" w:fill="auto"/>
            <w:vAlign w:val="center"/>
          </w:tcPr>
          <w:p w14:paraId="757AF99F">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残留针入度25℃ 不小于(%)</w:t>
            </w:r>
          </w:p>
        </w:tc>
        <w:tc>
          <w:tcPr>
            <w:tcW w:w="2750" w:type="dxa"/>
            <w:tcBorders>
              <w:top w:val="single" w:color="auto" w:sz="6" w:space="0"/>
              <w:bottom w:val="single" w:color="auto" w:sz="6" w:space="0"/>
            </w:tcBorders>
            <w:shd w:val="clear" w:color="auto" w:fill="auto"/>
            <w:noWrap/>
            <w:vAlign w:val="center"/>
          </w:tcPr>
          <w:p w14:paraId="379638C0">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57</w:t>
            </w:r>
          </w:p>
        </w:tc>
      </w:tr>
      <w:tr w14:paraId="34BE9B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056" w:type="dxa"/>
            <w:tcBorders>
              <w:top w:val="single" w:color="auto" w:sz="6" w:space="0"/>
              <w:bottom w:val="single" w:color="auto" w:sz="12" w:space="0"/>
            </w:tcBorders>
            <w:shd w:val="clear" w:color="auto" w:fill="auto"/>
            <w:vAlign w:val="center"/>
          </w:tcPr>
          <w:p w14:paraId="0DDD1ACA">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残留延度(10℃)不小于(%)</w:t>
            </w:r>
          </w:p>
        </w:tc>
        <w:tc>
          <w:tcPr>
            <w:tcW w:w="2750" w:type="dxa"/>
            <w:tcBorders>
              <w:top w:val="single" w:color="auto" w:sz="6" w:space="0"/>
              <w:bottom w:val="single" w:color="auto" w:sz="12" w:space="0"/>
            </w:tcBorders>
            <w:shd w:val="clear" w:color="auto" w:fill="auto"/>
            <w:noWrap/>
            <w:vAlign w:val="center"/>
          </w:tcPr>
          <w:p w14:paraId="59B852AC">
            <w:pPr>
              <w:keepNext w:val="0"/>
              <w:keepLines w:val="0"/>
              <w:pageBreakBefore w:val="0"/>
              <w:kinsoku/>
              <w:wordWrap/>
              <w:overflowPunct/>
              <w:topLinePunct w:val="0"/>
              <w:autoSpaceDE/>
              <w:autoSpaceDN/>
              <w:bidi w:val="0"/>
              <w:snapToGrid/>
              <w:spacing w:line="288" w:lineRule="auto"/>
              <w:jc w:val="center"/>
              <w:textAlignment w:val="auto"/>
              <w:rPr>
                <w:rFonts w:ascii="宋体" w:hAnsi="宋体" w:cs="宋体"/>
                <w:kern w:val="0"/>
                <w:sz w:val="24"/>
              </w:rPr>
            </w:pPr>
            <w:r>
              <w:rPr>
                <w:rFonts w:hint="eastAsia" w:ascii="宋体" w:hAnsi="宋体" w:cs="宋体"/>
                <w:kern w:val="0"/>
                <w:sz w:val="24"/>
              </w:rPr>
              <w:t>8</w:t>
            </w:r>
          </w:p>
        </w:tc>
      </w:tr>
    </w:tbl>
    <w:p w14:paraId="26A6EE67">
      <w:pPr>
        <w:keepNext w:val="0"/>
        <w:keepLines w:val="0"/>
        <w:pageBreakBefore w:val="0"/>
        <w:kinsoku/>
        <w:wordWrap/>
        <w:overflowPunct/>
        <w:topLinePunct w:val="0"/>
        <w:autoSpaceDE/>
        <w:autoSpaceDN/>
        <w:bidi w:val="0"/>
        <w:snapToGrid/>
        <w:spacing w:line="288" w:lineRule="auto"/>
        <w:ind w:firstLine="482" w:firstLineChars="200"/>
        <w:textAlignment w:val="auto"/>
        <w:rPr>
          <w:rFonts w:ascii="宋体" w:hAnsi="宋体" w:cs="宋体"/>
          <w:b/>
          <w:bCs/>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cs="宋体"/>
          <w:b/>
          <w:bCs/>
          <w:sz w:val="24"/>
        </w:rPr>
        <w:t>.2粗集料</w:t>
      </w:r>
    </w:p>
    <w:p w14:paraId="47869D2E">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ascii="宋体" w:hAnsi="宋体" w:cs="宋体"/>
          <w:sz w:val="24"/>
        </w:rPr>
        <w:pict>
          <v:shape id="Text Box 4" o:spid="_x0000_s1083" o:spt="202" type="#_x0000_t202" style="position:absolute;left:0pt;margin-left:991.8pt;margin-top:-172.95pt;height:67.45pt;width:81pt;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">
            <v:path/>
            <v:fill on="f" focussize="0,0"/>
            <v:stroke on="f" joinstyle="miter"/>
            <v:imagedata o:title=""/>
            <o:lock v:ext="edit"/>
            <v:textbox>
              <w:txbxContent>
                <w:p w14:paraId="612860B3">
                  <w:pPr>
                    <w:rPr>
                      <w:rFonts w:ascii="宋体" w:hAnsi="宋体"/>
                      <w:sz w:val="44"/>
                      <w:szCs w:val="44"/>
                    </w:rPr>
                  </w:pPr>
                </w:p>
              </w:txbxContent>
            </v:textbox>
          </v:shape>
        </w:pict>
      </w:r>
      <w:r>
        <w:rPr>
          <w:rFonts w:hint="eastAsia" w:ascii="宋体" w:hAnsi="宋体" w:cs="宋体"/>
          <w:sz w:val="24"/>
        </w:rPr>
        <w:t>面层沥青混合料中的粗集料应采用抗滑、耐磨、坚硬、洁净干燥的石料加工而成，宜采用一次颚式破碎后进行二次反击式或锤式破碎加工成具有良好颗粒形状，表面有良好微观构造的集料。</w:t>
      </w:r>
    </w:p>
    <w:p w14:paraId="5582A3A0">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各成品料出口必须安装能回收粉尘的防尘设备，保证粉尘不飞扬，不造成集料的二次污染，保证集料的粉尘含量满足要求。</w:t>
      </w:r>
    </w:p>
    <w:p w14:paraId="46335D99">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集料的形状应接近立方体，并具有良好的嵌挤能力，具有一个破碎面颗粒含量应达到80%，具有两个或两个破碎面含量应不小于60%。</w:t>
      </w:r>
    </w:p>
    <w:p w14:paraId="324D3BDF">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集料的粒径规格及技术指标应满足下表的要求，沥青与石料的粘附性小于4级时可掺加抗剥落剂，抗剥落剂类型为消石灰粉，用消石灰粉代替混合料中的矿粉，其用量为沥青混合料的2%。</w:t>
      </w:r>
    </w:p>
    <w:p w14:paraId="0ECE3B52">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sz w:val="24"/>
        </w:rPr>
        <w:t>具</w:t>
      </w:r>
      <w:r>
        <w:rPr>
          <w:rFonts w:hint="eastAsia" w:ascii="宋体" w:hAnsi="宋体" w:cs="宋体"/>
          <w:sz w:val="24"/>
        </w:rPr>
        <w:t>体指标见下表。</w:t>
      </w:r>
    </w:p>
    <w:tbl>
      <w:tblPr>
        <w:tblStyle w:val="8"/>
        <w:tblW w:w="0" w:type="auto"/>
        <w:jc w:val="center"/>
        <w:tblLayout w:type="autofit"/>
        <w:tblCellMar>
          <w:top w:w="0" w:type="dxa"/>
          <w:left w:w="108" w:type="dxa"/>
          <w:bottom w:w="0" w:type="dxa"/>
          <w:right w:w="108" w:type="dxa"/>
        </w:tblCellMar>
      </w:tblPr>
      <w:tblGrid>
        <w:gridCol w:w="4260"/>
        <w:gridCol w:w="3400"/>
      </w:tblGrid>
      <w:tr w14:paraId="70757A55">
        <w:tblPrEx>
          <w:tblCellMar>
            <w:top w:w="0" w:type="dxa"/>
            <w:left w:w="108" w:type="dxa"/>
            <w:bottom w:w="0" w:type="dxa"/>
            <w:right w:w="108" w:type="dxa"/>
          </w:tblCellMar>
        </w:tblPrEx>
        <w:trPr>
          <w:trHeight w:val="454" w:hRule="atLeast"/>
          <w:jc w:val="center"/>
        </w:trPr>
        <w:tc>
          <w:tcPr>
            <w:tcW w:w="7660" w:type="dxa"/>
            <w:gridSpan w:val="2"/>
            <w:tcBorders>
              <w:top w:val="nil"/>
              <w:left w:val="nil"/>
              <w:bottom w:val="single" w:color="auto" w:sz="12" w:space="0"/>
              <w:right w:val="nil"/>
            </w:tcBorders>
            <w:shd w:val="clear" w:color="auto" w:fill="auto"/>
            <w:vAlign w:val="center"/>
          </w:tcPr>
          <w:p w14:paraId="0F3024EE">
            <w:pPr>
              <w:keepNext w:val="0"/>
              <w:keepLines w:val="0"/>
              <w:pageBreakBefore w:val="0"/>
              <w:kinsoku/>
              <w:wordWrap/>
              <w:overflowPunct/>
              <w:topLinePunct w:val="0"/>
              <w:autoSpaceDE/>
              <w:autoSpaceDN/>
              <w:bidi w:val="0"/>
              <w:snapToGrid/>
              <w:spacing w:line="288" w:lineRule="auto"/>
              <w:ind w:firstLine="480" w:firstLineChars="200"/>
              <w:jc w:val="center"/>
              <w:textAlignment w:val="auto"/>
              <w:rPr>
                <w:rFonts w:ascii="宋体" w:hAnsi="宋体"/>
                <w:bCs/>
                <w:sz w:val="24"/>
              </w:rPr>
            </w:pPr>
            <w:r>
              <w:rPr>
                <w:rFonts w:hint="eastAsia" w:ascii="宋体" w:hAnsi="宋体"/>
                <w:bCs/>
                <w:sz w:val="24"/>
              </w:rPr>
              <w:t>沥青面层用粗集料质量技术指标表</w:t>
            </w:r>
          </w:p>
        </w:tc>
      </w:tr>
      <w:tr w14:paraId="5B19706B">
        <w:tblPrEx>
          <w:tblCellMar>
            <w:top w:w="0" w:type="dxa"/>
            <w:left w:w="108" w:type="dxa"/>
            <w:bottom w:w="0" w:type="dxa"/>
            <w:right w:w="108" w:type="dxa"/>
          </w:tblCellMar>
        </w:tblPrEx>
        <w:trPr>
          <w:trHeight w:val="454" w:hRule="atLeast"/>
          <w:jc w:val="center"/>
        </w:trPr>
        <w:tc>
          <w:tcPr>
            <w:tcW w:w="4260" w:type="dxa"/>
            <w:tcBorders>
              <w:top w:val="single" w:color="auto" w:sz="12" w:space="0"/>
              <w:left w:val="single" w:color="auto" w:sz="12" w:space="0"/>
              <w:bottom w:val="single" w:color="auto" w:sz="6" w:space="0"/>
              <w:right w:val="single" w:color="auto" w:sz="6" w:space="0"/>
            </w:tcBorders>
            <w:shd w:val="clear" w:color="auto" w:fill="auto"/>
            <w:vAlign w:val="center"/>
          </w:tcPr>
          <w:p w14:paraId="2FB3FC52">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项    目</w:t>
            </w:r>
          </w:p>
        </w:tc>
        <w:tc>
          <w:tcPr>
            <w:tcW w:w="3400" w:type="dxa"/>
            <w:tcBorders>
              <w:top w:val="single" w:color="auto" w:sz="12" w:space="0"/>
              <w:left w:val="single" w:color="auto" w:sz="6" w:space="0"/>
              <w:bottom w:val="single" w:color="auto" w:sz="6" w:space="0"/>
              <w:right w:val="single" w:color="auto" w:sz="12" w:space="0"/>
            </w:tcBorders>
            <w:shd w:val="clear" w:color="auto" w:fill="auto"/>
            <w:vAlign w:val="center"/>
          </w:tcPr>
          <w:p w14:paraId="28E0903C">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指    标</w:t>
            </w:r>
          </w:p>
        </w:tc>
      </w:tr>
      <w:tr w14:paraId="7B954749">
        <w:tblPrEx>
          <w:tblCellMar>
            <w:top w:w="0" w:type="dxa"/>
            <w:left w:w="108" w:type="dxa"/>
            <w:bottom w:w="0" w:type="dxa"/>
            <w:right w:w="108" w:type="dxa"/>
          </w:tblCellMar>
        </w:tblPrEx>
        <w:trPr>
          <w:trHeight w:val="454" w:hRule="atLeast"/>
          <w:jc w:val="center"/>
        </w:trPr>
        <w:tc>
          <w:tcPr>
            <w:tcW w:w="4260" w:type="dxa"/>
            <w:tcBorders>
              <w:top w:val="single" w:color="auto" w:sz="6" w:space="0"/>
              <w:left w:val="single" w:color="auto" w:sz="12" w:space="0"/>
              <w:bottom w:val="single" w:color="auto" w:sz="6" w:space="0"/>
              <w:right w:val="single" w:color="auto" w:sz="6" w:space="0"/>
            </w:tcBorders>
            <w:shd w:val="clear" w:color="auto" w:fill="auto"/>
            <w:vAlign w:val="center"/>
          </w:tcPr>
          <w:p w14:paraId="3ACC9EFA">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石料压碎值不大于(%)</w:t>
            </w:r>
          </w:p>
        </w:tc>
        <w:tc>
          <w:tcPr>
            <w:tcW w:w="3400" w:type="dxa"/>
            <w:tcBorders>
              <w:top w:val="single" w:color="auto" w:sz="6" w:space="0"/>
              <w:left w:val="single" w:color="auto" w:sz="6" w:space="0"/>
              <w:bottom w:val="single" w:color="auto" w:sz="6" w:space="0"/>
              <w:right w:val="single" w:color="auto" w:sz="12" w:space="0"/>
            </w:tcBorders>
            <w:shd w:val="clear" w:color="auto" w:fill="auto"/>
            <w:vAlign w:val="center"/>
          </w:tcPr>
          <w:p w14:paraId="254A259C">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30</w:t>
            </w:r>
          </w:p>
        </w:tc>
      </w:tr>
      <w:tr w14:paraId="3E165F41">
        <w:tblPrEx>
          <w:tblCellMar>
            <w:top w:w="0" w:type="dxa"/>
            <w:left w:w="108" w:type="dxa"/>
            <w:bottom w:w="0" w:type="dxa"/>
            <w:right w:w="108" w:type="dxa"/>
          </w:tblCellMar>
        </w:tblPrEx>
        <w:trPr>
          <w:trHeight w:val="454" w:hRule="atLeast"/>
          <w:jc w:val="center"/>
        </w:trPr>
        <w:tc>
          <w:tcPr>
            <w:tcW w:w="4260" w:type="dxa"/>
            <w:tcBorders>
              <w:top w:val="single" w:color="auto" w:sz="6" w:space="0"/>
              <w:left w:val="single" w:color="auto" w:sz="12" w:space="0"/>
              <w:bottom w:val="single" w:color="auto" w:sz="6" w:space="0"/>
              <w:right w:val="single" w:color="auto" w:sz="6" w:space="0"/>
            </w:tcBorders>
            <w:shd w:val="clear" w:color="auto" w:fill="auto"/>
            <w:vAlign w:val="center"/>
          </w:tcPr>
          <w:p w14:paraId="1F2A272B">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洛杉矶磨耗值不大于(%)</w:t>
            </w:r>
          </w:p>
        </w:tc>
        <w:tc>
          <w:tcPr>
            <w:tcW w:w="3400" w:type="dxa"/>
            <w:tcBorders>
              <w:top w:val="single" w:color="auto" w:sz="6" w:space="0"/>
              <w:left w:val="single" w:color="auto" w:sz="6" w:space="0"/>
              <w:bottom w:val="single" w:color="auto" w:sz="6" w:space="0"/>
              <w:right w:val="single" w:color="auto" w:sz="12" w:space="0"/>
            </w:tcBorders>
            <w:shd w:val="clear" w:color="auto" w:fill="auto"/>
            <w:vAlign w:val="center"/>
          </w:tcPr>
          <w:p w14:paraId="6C424D22">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35</w:t>
            </w:r>
          </w:p>
        </w:tc>
      </w:tr>
      <w:tr w14:paraId="46231485">
        <w:tblPrEx>
          <w:tblCellMar>
            <w:top w:w="0" w:type="dxa"/>
            <w:left w:w="108" w:type="dxa"/>
            <w:bottom w:w="0" w:type="dxa"/>
            <w:right w:w="108" w:type="dxa"/>
          </w:tblCellMar>
        </w:tblPrEx>
        <w:trPr>
          <w:trHeight w:val="454" w:hRule="atLeast"/>
          <w:jc w:val="center"/>
        </w:trPr>
        <w:tc>
          <w:tcPr>
            <w:tcW w:w="4260" w:type="dxa"/>
            <w:tcBorders>
              <w:top w:val="single" w:color="auto" w:sz="6" w:space="0"/>
              <w:left w:val="single" w:color="auto" w:sz="12" w:space="0"/>
              <w:bottom w:val="single" w:color="auto" w:sz="6" w:space="0"/>
              <w:right w:val="single" w:color="auto" w:sz="6" w:space="0"/>
            </w:tcBorders>
            <w:shd w:val="clear" w:color="auto" w:fill="auto"/>
            <w:vAlign w:val="center"/>
          </w:tcPr>
          <w:p w14:paraId="652F483A">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视密度不小于(t/m</w:t>
            </w:r>
            <w:r>
              <w:rPr>
                <w:rFonts w:hint="eastAsia"/>
                <w:vertAlign w:val="superscript"/>
              </w:rPr>
              <w:t>3</w:t>
            </w:r>
            <w:r>
              <w:rPr>
                <w:rFonts w:hint="eastAsia"/>
              </w:rPr>
              <w:t>)</w:t>
            </w:r>
          </w:p>
        </w:tc>
        <w:tc>
          <w:tcPr>
            <w:tcW w:w="3400" w:type="dxa"/>
            <w:tcBorders>
              <w:top w:val="single" w:color="auto" w:sz="6" w:space="0"/>
              <w:left w:val="single" w:color="auto" w:sz="6" w:space="0"/>
              <w:bottom w:val="single" w:color="auto" w:sz="6" w:space="0"/>
              <w:right w:val="single" w:color="auto" w:sz="12" w:space="0"/>
            </w:tcBorders>
            <w:shd w:val="clear" w:color="auto" w:fill="auto"/>
            <w:vAlign w:val="center"/>
          </w:tcPr>
          <w:p w14:paraId="2EAF7747">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2.45</w:t>
            </w:r>
          </w:p>
        </w:tc>
      </w:tr>
      <w:tr w14:paraId="74E334D9">
        <w:tblPrEx>
          <w:tblCellMar>
            <w:top w:w="0" w:type="dxa"/>
            <w:left w:w="108" w:type="dxa"/>
            <w:bottom w:w="0" w:type="dxa"/>
            <w:right w:w="108" w:type="dxa"/>
          </w:tblCellMar>
        </w:tblPrEx>
        <w:trPr>
          <w:trHeight w:val="454" w:hRule="atLeast"/>
          <w:jc w:val="center"/>
        </w:trPr>
        <w:tc>
          <w:tcPr>
            <w:tcW w:w="4260" w:type="dxa"/>
            <w:tcBorders>
              <w:top w:val="single" w:color="auto" w:sz="6" w:space="0"/>
              <w:left w:val="single" w:color="auto" w:sz="12" w:space="0"/>
              <w:bottom w:val="single" w:color="auto" w:sz="6" w:space="0"/>
              <w:right w:val="single" w:color="auto" w:sz="6" w:space="0"/>
            </w:tcBorders>
            <w:shd w:val="clear" w:color="auto" w:fill="auto"/>
            <w:vAlign w:val="center"/>
          </w:tcPr>
          <w:p w14:paraId="10D27EFD">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吸水率不大于(%)</w:t>
            </w:r>
          </w:p>
        </w:tc>
        <w:tc>
          <w:tcPr>
            <w:tcW w:w="3400" w:type="dxa"/>
            <w:tcBorders>
              <w:top w:val="single" w:color="auto" w:sz="6" w:space="0"/>
              <w:left w:val="single" w:color="auto" w:sz="6" w:space="0"/>
              <w:bottom w:val="single" w:color="auto" w:sz="6" w:space="0"/>
              <w:right w:val="single" w:color="auto" w:sz="12" w:space="0"/>
            </w:tcBorders>
            <w:shd w:val="clear" w:color="auto" w:fill="auto"/>
            <w:vAlign w:val="center"/>
          </w:tcPr>
          <w:p w14:paraId="1BF95852">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3</w:t>
            </w:r>
          </w:p>
        </w:tc>
      </w:tr>
      <w:tr w14:paraId="2CD3B149">
        <w:tblPrEx>
          <w:tblCellMar>
            <w:top w:w="0" w:type="dxa"/>
            <w:left w:w="108" w:type="dxa"/>
            <w:bottom w:w="0" w:type="dxa"/>
            <w:right w:w="108" w:type="dxa"/>
          </w:tblCellMar>
        </w:tblPrEx>
        <w:trPr>
          <w:trHeight w:val="454" w:hRule="atLeast"/>
          <w:jc w:val="center"/>
        </w:trPr>
        <w:tc>
          <w:tcPr>
            <w:tcW w:w="4260" w:type="dxa"/>
            <w:tcBorders>
              <w:top w:val="single" w:color="auto" w:sz="6" w:space="0"/>
              <w:left w:val="single" w:color="auto" w:sz="12" w:space="0"/>
              <w:bottom w:val="single" w:color="auto" w:sz="6" w:space="0"/>
              <w:right w:val="single" w:color="auto" w:sz="6" w:space="0"/>
            </w:tcBorders>
            <w:shd w:val="clear" w:color="auto" w:fill="auto"/>
            <w:vAlign w:val="center"/>
          </w:tcPr>
          <w:p w14:paraId="257F5978">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对沥青的粘附性不小于</w:t>
            </w:r>
          </w:p>
        </w:tc>
        <w:tc>
          <w:tcPr>
            <w:tcW w:w="3400" w:type="dxa"/>
            <w:tcBorders>
              <w:top w:val="single" w:color="auto" w:sz="6" w:space="0"/>
              <w:left w:val="single" w:color="auto" w:sz="6" w:space="0"/>
              <w:bottom w:val="single" w:color="auto" w:sz="6" w:space="0"/>
              <w:right w:val="single" w:color="auto" w:sz="12" w:space="0"/>
            </w:tcBorders>
            <w:shd w:val="clear" w:color="auto" w:fill="auto"/>
            <w:vAlign w:val="center"/>
          </w:tcPr>
          <w:p w14:paraId="774BEDCB">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4</w:t>
            </w:r>
          </w:p>
        </w:tc>
      </w:tr>
      <w:tr w14:paraId="10104EB9">
        <w:tblPrEx>
          <w:tblCellMar>
            <w:top w:w="0" w:type="dxa"/>
            <w:left w:w="108" w:type="dxa"/>
            <w:bottom w:w="0" w:type="dxa"/>
            <w:right w:w="108" w:type="dxa"/>
          </w:tblCellMar>
        </w:tblPrEx>
        <w:trPr>
          <w:trHeight w:val="454" w:hRule="atLeast"/>
          <w:jc w:val="center"/>
        </w:trPr>
        <w:tc>
          <w:tcPr>
            <w:tcW w:w="4260" w:type="dxa"/>
            <w:tcBorders>
              <w:top w:val="single" w:color="auto" w:sz="6" w:space="0"/>
              <w:left w:val="single" w:color="auto" w:sz="12" w:space="0"/>
              <w:bottom w:val="single" w:color="auto" w:sz="6" w:space="0"/>
              <w:right w:val="single" w:color="auto" w:sz="6" w:space="0"/>
            </w:tcBorders>
            <w:shd w:val="clear" w:color="auto" w:fill="auto"/>
            <w:vAlign w:val="center"/>
          </w:tcPr>
          <w:p w14:paraId="2D115725">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针片状颗粒含量不大于(%)</w:t>
            </w:r>
          </w:p>
        </w:tc>
        <w:tc>
          <w:tcPr>
            <w:tcW w:w="3400" w:type="dxa"/>
            <w:tcBorders>
              <w:top w:val="single" w:color="auto" w:sz="6" w:space="0"/>
              <w:left w:val="single" w:color="auto" w:sz="6" w:space="0"/>
              <w:bottom w:val="single" w:color="auto" w:sz="6" w:space="0"/>
              <w:right w:val="single" w:color="auto" w:sz="12" w:space="0"/>
            </w:tcBorders>
            <w:shd w:val="clear" w:color="auto" w:fill="auto"/>
            <w:vAlign w:val="center"/>
          </w:tcPr>
          <w:p w14:paraId="0968B55C">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20</w:t>
            </w:r>
          </w:p>
        </w:tc>
      </w:tr>
      <w:tr w14:paraId="765A393D">
        <w:tblPrEx>
          <w:tblCellMar>
            <w:top w:w="0" w:type="dxa"/>
            <w:left w:w="108" w:type="dxa"/>
            <w:bottom w:w="0" w:type="dxa"/>
            <w:right w:w="108" w:type="dxa"/>
          </w:tblCellMar>
        </w:tblPrEx>
        <w:trPr>
          <w:trHeight w:val="454" w:hRule="atLeast"/>
          <w:jc w:val="center"/>
        </w:trPr>
        <w:tc>
          <w:tcPr>
            <w:tcW w:w="4260" w:type="dxa"/>
            <w:tcBorders>
              <w:top w:val="single" w:color="auto" w:sz="6" w:space="0"/>
              <w:left w:val="single" w:color="auto" w:sz="12" w:space="0"/>
              <w:bottom w:val="single" w:color="auto" w:sz="6" w:space="0"/>
              <w:right w:val="single" w:color="auto" w:sz="6" w:space="0"/>
            </w:tcBorders>
            <w:shd w:val="clear" w:color="auto" w:fill="auto"/>
            <w:vAlign w:val="center"/>
          </w:tcPr>
          <w:p w14:paraId="5A71644F">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水洗法&lt;0.075mm颗粒含量不大于(%)</w:t>
            </w:r>
          </w:p>
        </w:tc>
        <w:tc>
          <w:tcPr>
            <w:tcW w:w="3400" w:type="dxa"/>
            <w:tcBorders>
              <w:top w:val="single" w:color="auto" w:sz="6" w:space="0"/>
              <w:left w:val="single" w:color="auto" w:sz="6" w:space="0"/>
              <w:bottom w:val="single" w:color="auto" w:sz="6" w:space="0"/>
              <w:right w:val="single" w:color="auto" w:sz="12" w:space="0"/>
            </w:tcBorders>
            <w:shd w:val="clear" w:color="auto" w:fill="auto"/>
            <w:vAlign w:val="center"/>
          </w:tcPr>
          <w:p w14:paraId="4B49761C">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1</w:t>
            </w:r>
          </w:p>
        </w:tc>
      </w:tr>
      <w:tr w14:paraId="6A64010D">
        <w:tblPrEx>
          <w:tblCellMar>
            <w:top w:w="0" w:type="dxa"/>
            <w:left w:w="108" w:type="dxa"/>
            <w:bottom w:w="0" w:type="dxa"/>
            <w:right w:w="108" w:type="dxa"/>
          </w:tblCellMar>
        </w:tblPrEx>
        <w:trPr>
          <w:trHeight w:val="454" w:hRule="atLeast"/>
          <w:jc w:val="center"/>
        </w:trPr>
        <w:tc>
          <w:tcPr>
            <w:tcW w:w="4260" w:type="dxa"/>
            <w:tcBorders>
              <w:top w:val="single" w:color="auto" w:sz="6" w:space="0"/>
              <w:left w:val="single" w:color="auto" w:sz="12" w:space="0"/>
              <w:bottom w:val="single" w:color="auto" w:sz="6" w:space="0"/>
              <w:right w:val="single" w:color="auto" w:sz="6" w:space="0"/>
            </w:tcBorders>
            <w:shd w:val="clear" w:color="auto" w:fill="auto"/>
            <w:vAlign w:val="center"/>
          </w:tcPr>
          <w:p w14:paraId="6A242026">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磨光值大于</w:t>
            </w:r>
          </w:p>
        </w:tc>
        <w:tc>
          <w:tcPr>
            <w:tcW w:w="3400" w:type="dxa"/>
            <w:tcBorders>
              <w:top w:val="single" w:color="auto" w:sz="6" w:space="0"/>
              <w:left w:val="single" w:color="auto" w:sz="6" w:space="0"/>
              <w:bottom w:val="single" w:color="auto" w:sz="6" w:space="0"/>
              <w:right w:val="single" w:color="auto" w:sz="12" w:space="0"/>
            </w:tcBorders>
            <w:shd w:val="clear" w:color="auto" w:fill="auto"/>
            <w:vAlign w:val="center"/>
          </w:tcPr>
          <w:p w14:paraId="41B570DA">
            <w:pPr>
              <w:keepNext w:val="0"/>
              <w:keepLines w:val="0"/>
              <w:pageBreakBefore w:val="0"/>
              <w:widowControl/>
              <w:kinsoku/>
              <w:wordWrap/>
              <w:overflowPunct/>
              <w:topLinePunct w:val="0"/>
              <w:autoSpaceDE/>
              <w:autoSpaceDN/>
              <w:bidi w:val="0"/>
              <w:snapToGrid/>
              <w:spacing w:line="288" w:lineRule="auto"/>
              <w:jc w:val="center"/>
              <w:textAlignment w:val="auto"/>
            </w:pPr>
            <w:r>
              <w:t>--</w:t>
            </w:r>
          </w:p>
        </w:tc>
      </w:tr>
      <w:tr w14:paraId="4E14AF43">
        <w:tblPrEx>
          <w:tblCellMar>
            <w:top w:w="0" w:type="dxa"/>
            <w:left w:w="108" w:type="dxa"/>
            <w:bottom w:w="0" w:type="dxa"/>
            <w:right w:w="108" w:type="dxa"/>
          </w:tblCellMar>
        </w:tblPrEx>
        <w:trPr>
          <w:trHeight w:val="454" w:hRule="atLeast"/>
          <w:jc w:val="center"/>
        </w:trPr>
        <w:tc>
          <w:tcPr>
            <w:tcW w:w="4260" w:type="dxa"/>
            <w:tcBorders>
              <w:top w:val="single" w:color="auto" w:sz="6" w:space="0"/>
              <w:left w:val="single" w:color="auto" w:sz="12" w:space="0"/>
              <w:bottom w:val="single" w:color="auto" w:sz="12" w:space="0"/>
              <w:right w:val="single" w:color="auto" w:sz="6" w:space="0"/>
            </w:tcBorders>
            <w:shd w:val="clear" w:color="auto" w:fill="auto"/>
            <w:vAlign w:val="center"/>
          </w:tcPr>
          <w:p w14:paraId="293391DA">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软石含量不大于(%)</w:t>
            </w:r>
          </w:p>
        </w:tc>
        <w:tc>
          <w:tcPr>
            <w:tcW w:w="3400" w:type="dxa"/>
            <w:tcBorders>
              <w:top w:val="single" w:color="auto" w:sz="6" w:space="0"/>
              <w:left w:val="single" w:color="auto" w:sz="6" w:space="0"/>
              <w:bottom w:val="single" w:color="auto" w:sz="12" w:space="0"/>
              <w:right w:val="single" w:color="auto" w:sz="12" w:space="0"/>
            </w:tcBorders>
            <w:shd w:val="clear" w:color="auto" w:fill="auto"/>
            <w:vAlign w:val="center"/>
          </w:tcPr>
          <w:p w14:paraId="5E4A1A39">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5</w:t>
            </w:r>
          </w:p>
        </w:tc>
      </w:tr>
    </w:tbl>
    <w:p w14:paraId="0562667C">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其粒径规格及技术指标符合《公路沥青路面施工技术规范》（JTG F40-2017）中表4.8.3和表4.8.2（其他等级公路项）的规定见表《沥青面层用粗集料质量技术要求》和《沥青面层用粗集料规格(方孔筛)》。</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3"/>
        <w:gridCol w:w="851"/>
        <w:gridCol w:w="567"/>
        <w:gridCol w:w="1021"/>
        <w:gridCol w:w="993"/>
        <w:gridCol w:w="992"/>
        <w:gridCol w:w="992"/>
        <w:gridCol w:w="963"/>
        <w:gridCol w:w="993"/>
        <w:gridCol w:w="1025"/>
        <w:gridCol w:w="992"/>
        <w:gridCol w:w="992"/>
        <w:gridCol w:w="992"/>
        <w:gridCol w:w="851"/>
        <w:gridCol w:w="663"/>
      </w:tblGrid>
      <w:tr w14:paraId="0E978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418" w:type="dxa"/>
            <w:gridSpan w:val="15"/>
            <w:tcBorders>
              <w:top w:val="nil"/>
              <w:left w:val="nil"/>
              <w:bottom w:val="single" w:color="auto" w:sz="12" w:space="0"/>
              <w:right w:val="nil"/>
            </w:tcBorders>
            <w:noWrap/>
            <w:vAlign w:val="center"/>
          </w:tcPr>
          <w:p w14:paraId="21388E2D">
            <w:pPr>
              <w:keepNext w:val="0"/>
              <w:keepLines w:val="0"/>
              <w:pageBreakBefore w:val="0"/>
              <w:tabs>
                <w:tab w:val="left" w:pos="10440"/>
              </w:tabs>
              <w:kinsoku/>
              <w:wordWrap/>
              <w:overflowPunct/>
              <w:topLinePunct w:val="0"/>
              <w:autoSpaceDE/>
              <w:autoSpaceDN/>
              <w:bidi w:val="0"/>
              <w:adjustRightInd w:val="0"/>
              <w:snapToGrid/>
              <w:spacing w:line="288" w:lineRule="auto"/>
              <w:jc w:val="center"/>
              <w:textAlignment w:val="auto"/>
              <w:rPr>
                <w:rFonts w:ascii="宋体" w:hAnsi="宋体"/>
                <w:bCs/>
                <w:sz w:val="24"/>
              </w:rPr>
            </w:pPr>
            <w:r>
              <w:rPr>
                <w:rFonts w:hint="eastAsia" w:ascii="宋体" w:hAnsi="宋体"/>
                <w:bCs/>
                <w:sz w:val="24"/>
              </w:rPr>
              <w:t>沥青面层用粗集料规格(方孔筛)</w:t>
            </w:r>
          </w:p>
        </w:tc>
      </w:tr>
      <w:tr w14:paraId="52839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31" w:type="dxa"/>
            <w:vMerge w:val="restart"/>
            <w:tcBorders>
              <w:top w:val="single" w:color="auto" w:sz="12" w:space="0"/>
              <w:left w:val="single" w:color="auto" w:sz="12" w:space="0"/>
              <w:bottom w:val="single" w:color="auto" w:sz="6" w:space="0"/>
              <w:right w:val="single" w:color="auto" w:sz="6" w:space="0"/>
            </w:tcBorders>
            <w:noWrap/>
            <w:vAlign w:val="center"/>
          </w:tcPr>
          <w:p w14:paraId="5AEDDEB9">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规格</w:t>
            </w:r>
          </w:p>
        </w:tc>
        <w:tc>
          <w:tcPr>
            <w:tcW w:w="851" w:type="dxa"/>
            <w:vMerge w:val="restart"/>
            <w:tcBorders>
              <w:top w:val="single" w:color="auto" w:sz="12" w:space="0"/>
              <w:left w:val="single" w:color="auto" w:sz="6" w:space="0"/>
              <w:bottom w:val="single" w:color="auto" w:sz="6" w:space="0"/>
              <w:right w:val="single" w:color="auto" w:sz="6" w:space="0"/>
            </w:tcBorders>
            <w:vAlign w:val="center"/>
          </w:tcPr>
          <w:p w14:paraId="25D99EA2">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公 称 粒 径</w:t>
            </w:r>
            <w:r>
              <w:rPr>
                <w:rFonts w:hint="eastAsia"/>
              </w:rPr>
              <w:br w:type="textWrapping"/>
            </w:r>
            <w:r>
              <w:rPr>
                <w:rFonts w:hint="eastAsia"/>
              </w:rPr>
              <w:t>(mm)</w:t>
            </w:r>
          </w:p>
        </w:tc>
        <w:tc>
          <w:tcPr>
            <w:tcW w:w="12036" w:type="dxa"/>
            <w:gridSpan w:val="13"/>
            <w:tcBorders>
              <w:top w:val="single" w:color="auto" w:sz="12" w:space="0"/>
              <w:left w:val="single" w:color="auto" w:sz="6" w:space="0"/>
              <w:bottom w:val="single" w:color="auto" w:sz="6" w:space="0"/>
              <w:right w:val="single" w:color="auto" w:sz="12" w:space="0"/>
            </w:tcBorders>
            <w:noWrap/>
            <w:vAlign w:val="center"/>
          </w:tcPr>
          <w:p w14:paraId="33DF3297">
            <w:pPr>
              <w:keepNext w:val="0"/>
              <w:keepLines w:val="0"/>
              <w:pageBreakBefore w:val="0"/>
              <w:tabs>
                <w:tab w:val="left" w:pos="10440"/>
              </w:tabs>
              <w:kinsoku/>
              <w:wordWrap/>
              <w:overflowPunct/>
              <w:topLinePunct w:val="0"/>
              <w:autoSpaceDE/>
              <w:autoSpaceDN/>
              <w:bidi w:val="0"/>
              <w:adjustRightInd w:val="0"/>
              <w:snapToGrid/>
              <w:spacing w:line="288" w:lineRule="auto"/>
              <w:jc w:val="center"/>
              <w:textAlignment w:val="auto"/>
              <w:rPr>
                <w:rFonts w:ascii="宋体" w:hAnsi="宋体"/>
                <w:bCs/>
                <w:szCs w:val="21"/>
              </w:rPr>
            </w:pPr>
            <w:r>
              <w:rPr>
                <w:rFonts w:hint="eastAsia" w:ascii="宋体" w:hAnsi="宋体"/>
                <w:bCs/>
                <w:szCs w:val="21"/>
              </w:rPr>
              <w:t>通过下列筛孔(方孔筛,mm)的质量百分率（％）</w:t>
            </w:r>
          </w:p>
        </w:tc>
      </w:tr>
      <w:tr w14:paraId="63A30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31" w:type="dxa"/>
            <w:vMerge w:val="continue"/>
            <w:tcBorders>
              <w:top w:val="single" w:color="auto" w:sz="6" w:space="0"/>
              <w:left w:val="single" w:color="auto" w:sz="12" w:space="0"/>
              <w:bottom w:val="single" w:color="auto" w:sz="6" w:space="0"/>
              <w:right w:val="single" w:color="auto" w:sz="6" w:space="0"/>
            </w:tcBorders>
            <w:vAlign w:val="center"/>
          </w:tcPr>
          <w:p w14:paraId="74C07261">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14:paraId="01261B4B">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567" w:type="dxa"/>
            <w:tcBorders>
              <w:top w:val="single" w:color="auto" w:sz="6" w:space="0"/>
              <w:left w:val="single" w:color="auto" w:sz="6" w:space="0"/>
              <w:bottom w:val="single" w:color="auto" w:sz="6" w:space="0"/>
              <w:right w:val="single" w:color="auto" w:sz="6" w:space="0"/>
            </w:tcBorders>
            <w:noWrap/>
            <w:vAlign w:val="center"/>
          </w:tcPr>
          <w:p w14:paraId="3B01CF00">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106</w:t>
            </w:r>
          </w:p>
        </w:tc>
        <w:tc>
          <w:tcPr>
            <w:tcW w:w="1021" w:type="dxa"/>
            <w:tcBorders>
              <w:top w:val="single" w:color="auto" w:sz="6" w:space="0"/>
              <w:left w:val="single" w:color="auto" w:sz="6" w:space="0"/>
              <w:bottom w:val="single" w:color="auto" w:sz="6" w:space="0"/>
              <w:right w:val="single" w:color="auto" w:sz="6" w:space="0"/>
            </w:tcBorders>
            <w:noWrap/>
            <w:vAlign w:val="center"/>
          </w:tcPr>
          <w:p w14:paraId="68EEE59C">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75</w:t>
            </w:r>
          </w:p>
        </w:tc>
        <w:tc>
          <w:tcPr>
            <w:tcW w:w="993" w:type="dxa"/>
            <w:tcBorders>
              <w:top w:val="single" w:color="auto" w:sz="6" w:space="0"/>
              <w:left w:val="single" w:color="auto" w:sz="6" w:space="0"/>
              <w:bottom w:val="single" w:color="auto" w:sz="6" w:space="0"/>
              <w:right w:val="single" w:color="auto" w:sz="6" w:space="0"/>
            </w:tcBorders>
            <w:noWrap/>
            <w:vAlign w:val="center"/>
          </w:tcPr>
          <w:p w14:paraId="56525485">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63</w:t>
            </w:r>
          </w:p>
        </w:tc>
        <w:tc>
          <w:tcPr>
            <w:tcW w:w="992" w:type="dxa"/>
            <w:tcBorders>
              <w:top w:val="single" w:color="auto" w:sz="6" w:space="0"/>
              <w:left w:val="single" w:color="auto" w:sz="6" w:space="0"/>
              <w:bottom w:val="single" w:color="auto" w:sz="6" w:space="0"/>
              <w:right w:val="single" w:color="auto" w:sz="6" w:space="0"/>
            </w:tcBorders>
            <w:noWrap/>
            <w:vAlign w:val="center"/>
          </w:tcPr>
          <w:p w14:paraId="455781AA">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53</w:t>
            </w:r>
          </w:p>
        </w:tc>
        <w:tc>
          <w:tcPr>
            <w:tcW w:w="992" w:type="dxa"/>
            <w:tcBorders>
              <w:top w:val="single" w:color="auto" w:sz="6" w:space="0"/>
              <w:left w:val="single" w:color="auto" w:sz="6" w:space="0"/>
              <w:bottom w:val="single" w:color="auto" w:sz="6" w:space="0"/>
              <w:right w:val="single" w:color="auto" w:sz="6" w:space="0"/>
            </w:tcBorders>
            <w:noWrap/>
            <w:vAlign w:val="center"/>
          </w:tcPr>
          <w:p w14:paraId="02998A05">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37.5</w:t>
            </w:r>
          </w:p>
        </w:tc>
        <w:tc>
          <w:tcPr>
            <w:tcW w:w="963" w:type="dxa"/>
            <w:tcBorders>
              <w:top w:val="single" w:color="auto" w:sz="6" w:space="0"/>
              <w:left w:val="single" w:color="auto" w:sz="6" w:space="0"/>
              <w:bottom w:val="single" w:color="auto" w:sz="6" w:space="0"/>
              <w:right w:val="single" w:color="auto" w:sz="6" w:space="0"/>
            </w:tcBorders>
            <w:noWrap/>
            <w:vAlign w:val="center"/>
          </w:tcPr>
          <w:p w14:paraId="0DDA4FD4">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31.5</w:t>
            </w:r>
          </w:p>
        </w:tc>
        <w:tc>
          <w:tcPr>
            <w:tcW w:w="993" w:type="dxa"/>
            <w:tcBorders>
              <w:top w:val="single" w:color="auto" w:sz="6" w:space="0"/>
              <w:left w:val="single" w:color="auto" w:sz="6" w:space="0"/>
              <w:bottom w:val="single" w:color="auto" w:sz="6" w:space="0"/>
              <w:right w:val="single" w:color="auto" w:sz="6" w:space="0"/>
            </w:tcBorders>
            <w:noWrap/>
            <w:vAlign w:val="center"/>
          </w:tcPr>
          <w:p w14:paraId="1112D390">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26.5</w:t>
            </w:r>
          </w:p>
        </w:tc>
        <w:tc>
          <w:tcPr>
            <w:tcW w:w="1025" w:type="dxa"/>
            <w:tcBorders>
              <w:top w:val="single" w:color="auto" w:sz="6" w:space="0"/>
              <w:left w:val="single" w:color="auto" w:sz="6" w:space="0"/>
              <w:bottom w:val="single" w:color="auto" w:sz="6" w:space="0"/>
              <w:right w:val="single" w:color="auto" w:sz="6" w:space="0"/>
            </w:tcBorders>
            <w:noWrap/>
            <w:vAlign w:val="center"/>
          </w:tcPr>
          <w:p w14:paraId="751CA284">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19</w:t>
            </w:r>
          </w:p>
        </w:tc>
        <w:tc>
          <w:tcPr>
            <w:tcW w:w="992" w:type="dxa"/>
            <w:tcBorders>
              <w:top w:val="single" w:color="auto" w:sz="6" w:space="0"/>
              <w:left w:val="single" w:color="auto" w:sz="6" w:space="0"/>
              <w:bottom w:val="single" w:color="auto" w:sz="6" w:space="0"/>
              <w:right w:val="single" w:color="auto" w:sz="6" w:space="0"/>
            </w:tcBorders>
            <w:noWrap/>
            <w:vAlign w:val="center"/>
          </w:tcPr>
          <w:p w14:paraId="7DD71F67">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13.2</w:t>
            </w:r>
          </w:p>
        </w:tc>
        <w:tc>
          <w:tcPr>
            <w:tcW w:w="992" w:type="dxa"/>
            <w:tcBorders>
              <w:top w:val="single" w:color="auto" w:sz="6" w:space="0"/>
              <w:left w:val="single" w:color="auto" w:sz="6" w:space="0"/>
              <w:bottom w:val="single" w:color="auto" w:sz="6" w:space="0"/>
              <w:right w:val="single" w:color="auto" w:sz="6" w:space="0"/>
            </w:tcBorders>
            <w:noWrap/>
            <w:vAlign w:val="center"/>
          </w:tcPr>
          <w:p w14:paraId="14DEEA5E">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9.5</w:t>
            </w:r>
          </w:p>
        </w:tc>
        <w:tc>
          <w:tcPr>
            <w:tcW w:w="992" w:type="dxa"/>
            <w:tcBorders>
              <w:top w:val="single" w:color="auto" w:sz="6" w:space="0"/>
              <w:left w:val="single" w:color="auto" w:sz="6" w:space="0"/>
              <w:bottom w:val="single" w:color="auto" w:sz="6" w:space="0"/>
              <w:right w:val="single" w:color="auto" w:sz="6" w:space="0"/>
            </w:tcBorders>
            <w:noWrap/>
            <w:vAlign w:val="center"/>
          </w:tcPr>
          <w:p w14:paraId="24EAA6CC">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4.75</w:t>
            </w:r>
          </w:p>
        </w:tc>
        <w:tc>
          <w:tcPr>
            <w:tcW w:w="851" w:type="dxa"/>
            <w:tcBorders>
              <w:top w:val="single" w:color="auto" w:sz="6" w:space="0"/>
              <w:left w:val="single" w:color="auto" w:sz="6" w:space="0"/>
              <w:bottom w:val="single" w:color="auto" w:sz="6" w:space="0"/>
              <w:right w:val="single" w:color="auto" w:sz="6" w:space="0"/>
            </w:tcBorders>
            <w:noWrap/>
            <w:vAlign w:val="center"/>
          </w:tcPr>
          <w:p w14:paraId="3EB0AD33">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2.36</w:t>
            </w:r>
          </w:p>
        </w:tc>
        <w:tc>
          <w:tcPr>
            <w:tcW w:w="663" w:type="dxa"/>
            <w:tcBorders>
              <w:top w:val="single" w:color="auto" w:sz="6" w:space="0"/>
              <w:left w:val="single" w:color="auto" w:sz="6" w:space="0"/>
              <w:bottom w:val="single" w:color="auto" w:sz="6" w:space="0"/>
              <w:right w:val="single" w:color="auto" w:sz="12" w:space="0"/>
            </w:tcBorders>
            <w:noWrap/>
            <w:vAlign w:val="center"/>
          </w:tcPr>
          <w:p w14:paraId="49C288C1">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0.6</w:t>
            </w:r>
          </w:p>
        </w:tc>
      </w:tr>
      <w:tr w14:paraId="73652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31" w:type="dxa"/>
            <w:tcBorders>
              <w:top w:val="single" w:color="auto" w:sz="6" w:space="0"/>
              <w:left w:val="single" w:color="auto" w:sz="12" w:space="0"/>
              <w:bottom w:val="single" w:color="auto" w:sz="6" w:space="0"/>
              <w:right w:val="single" w:color="auto" w:sz="6" w:space="0"/>
            </w:tcBorders>
            <w:noWrap/>
            <w:vAlign w:val="center"/>
          </w:tcPr>
          <w:p w14:paraId="1403EFCE">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S1</w:t>
            </w:r>
          </w:p>
        </w:tc>
        <w:tc>
          <w:tcPr>
            <w:tcW w:w="851" w:type="dxa"/>
            <w:tcBorders>
              <w:top w:val="single" w:color="auto" w:sz="6" w:space="0"/>
              <w:left w:val="single" w:color="auto" w:sz="6" w:space="0"/>
              <w:bottom w:val="single" w:color="auto" w:sz="6" w:space="0"/>
              <w:right w:val="single" w:color="auto" w:sz="6" w:space="0"/>
            </w:tcBorders>
            <w:noWrap/>
            <w:vAlign w:val="center"/>
          </w:tcPr>
          <w:p w14:paraId="7CC41665">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40～75</w:t>
            </w:r>
          </w:p>
        </w:tc>
        <w:tc>
          <w:tcPr>
            <w:tcW w:w="567" w:type="dxa"/>
            <w:tcBorders>
              <w:top w:val="single" w:color="auto" w:sz="6" w:space="0"/>
              <w:left w:val="single" w:color="auto" w:sz="6" w:space="0"/>
              <w:bottom w:val="single" w:color="auto" w:sz="6" w:space="0"/>
              <w:right w:val="single" w:color="auto" w:sz="6" w:space="0"/>
            </w:tcBorders>
            <w:noWrap/>
            <w:vAlign w:val="center"/>
          </w:tcPr>
          <w:p w14:paraId="69CDF0C3">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100</w:t>
            </w:r>
          </w:p>
        </w:tc>
        <w:tc>
          <w:tcPr>
            <w:tcW w:w="1021" w:type="dxa"/>
            <w:tcBorders>
              <w:top w:val="single" w:color="auto" w:sz="6" w:space="0"/>
              <w:left w:val="single" w:color="auto" w:sz="6" w:space="0"/>
              <w:bottom w:val="single" w:color="auto" w:sz="6" w:space="0"/>
              <w:right w:val="single" w:color="auto" w:sz="6" w:space="0"/>
            </w:tcBorders>
            <w:noWrap/>
            <w:vAlign w:val="center"/>
          </w:tcPr>
          <w:p w14:paraId="7441E941">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90～100</w:t>
            </w:r>
          </w:p>
        </w:tc>
        <w:tc>
          <w:tcPr>
            <w:tcW w:w="993" w:type="dxa"/>
            <w:tcBorders>
              <w:top w:val="single" w:color="auto" w:sz="6" w:space="0"/>
              <w:left w:val="single" w:color="auto" w:sz="6" w:space="0"/>
              <w:bottom w:val="single" w:color="auto" w:sz="6" w:space="0"/>
              <w:right w:val="single" w:color="auto" w:sz="6" w:space="0"/>
            </w:tcBorders>
            <w:noWrap/>
            <w:vAlign w:val="center"/>
          </w:tcPr>
          <w:p w14:paraId="1085CAE5">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6" w:space="0"/>
              <w:right w:val="single" w:color="auto" w:sz="6" w:space="0"/>
            </w:tcBorders>
            <w:noWrap/>
            <w:vAlign w:val="center"/>
          </w:tcPr>
          <w:p w14:paraId="342260E2">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6" w:space="0"/>
              <w:right w:val="single" w:color="auto" w:sz="6" w:space="0"/>
            </w:tcBorders>
            <w:noWrap/>
            <w:vAlign w:val="center"/>
          </w:tcPr>
          <w:p w14:paraId="33348510">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0～15</w:t>
            </w:r>
          </w:p>
        </w:tc>
        <w:tc>
          <w:tcPr>
            <w:tcW w:w="963" w:type="dxa"/>
            <w:tcBorders>
              <w:top w:val="single" w:color="auto" w:sz="6" w:space="0"/>
              <w:left w:val="single" w:color="auto" w:sz="6" w:space="0"/>
              <w:bottom w:val="single" w:color="auto" w:sz="6" w:space="0"/>
              <w:right w:val="single" w:color="auto" w:sz="6" w:space="0"/>
            </w:tcBorders>
            <w:noWrap/>
            <w:vAlign w:val="center"/>
          </w:tcPr>
          <w:p w14:paraId="0E66BD0E">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3" w:type="dxa"/>
            <w:tcBorders>
              <w:top w:val="single" w:color="auto" w:sz="6" w:space="0"/>
              <w:left w:val="single" w:color="auto" w:sz="6" w:space="0"/>
              <w:bottom w:val="single" w:color="auto" w:sz="6" w:space="0"/>
              <w:right w:val="single" w:color="auto" w:sz="6" w:space="0"/>
            </w:tcBorders>
            <w:noWrap/>
            <w:vAlign w:val="center"/>
          </w:tcPr>
          <w:p w14:paraId="15E8FBF2">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0～5</w:t>
            </w:r>
          </w:p>
        </w:tc>
        <w:tc>
          <w:tcPr>
            <w:tcW w:w="1025" w:type="dxa"/>
            <w:tcBorders>
              <w:top w:val="single" w:color="auto" w:sz="6" w:space="0"/>
              <w:left w:val="single" w:color="auto" w:sz="6" w:space="0"/>
              <w:bottom w:val="single" w:color="auto" w:sz="6" w:space="0"/>
              <w:right w:val="single" w:color="auto" w:sz="6" w:space="0"/>
            </w:tcBorders>
            <w:noWrap/>
            <w:vAlign w:val="center"/>
          </w:tcPr>
          <w:p w14:paraId="67AC200B">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6" w:space="0"/>
              <w:right w:val="single" w:color="auto" w:sz="6" w:space="0"/>
            </w:tcBorders>
            <w:noWrap/>
            <w:vAlign w:val="center"/>
          </w:tcPr>
          <w:p w14:paraId="71528040">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6" w:space="0"/>
              <w:right w:val="single" w:color="auto" w:sz="6" w:space="0"/>
            </w:tcBorders>
            <w:noWrap/>
            <w:vAlign w:val="center"/>
          </w:tcPr>
          <w:p w14:paraId="5ADA19F2">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6" w:space="0"/>
              <w:right w:val="single" w:color="auto" w:sz="6" w:space="0"/>
            </w:tcBorders>
            <w:noWrap/>
            <w:vAlign w:val="center"/>
          </w:tcPr>
          <w:p w14:paraId="65ECB02D">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851" w:type="dxa"/>
            <w:tcBorders>
              <w:top w:val="single" w:color="auto" w:sz="6" w:space="0"/>
              <w:left w:val="single" w:color="auto" w:sz="6" w:space="0"/>
              <w:bottom w:val="single" w:color="auto" w:sz="6" w:space="0"/>
              <w:right w:val="single" w:color="auto" w:sz="6" w:space="0"/>
            </w:tcBorders>
            <w:noWrap/>
            <w:vAlign w:val="center"/>
          </w:tcPr>
          <w:p w14:paraId="27A051B4">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663" w:type="dxa"/>
            <w:tcBorders>
              <w:top w:val="single" w:color="auto" w:sz="6" w:space="0"/>
              <w:left w:val="single" w:color="auto" w:sz="6" w:space="0"/>
              <w:bottom w:val="single" w:color="auto" w:sz="6" w:space="0"/>
              <w:right w:val="single" w:color="auto" w:sz="12" w:space="0"/>
            </w:tcBorders>
            <w:noWrap/>
            <w:vAlign w:val="center"/>
          </w:tcPr>
          <w:p w14:paraId="358EADC1">
            <w:pPr>
              <w:keepNext w:val="0"/>
              <w:keepLines w:val="0"/>
              <w:pageBreakBefore w:val="0"/>
              <w:widowControl/>
              <w:kinsoku/>
              <w:wordWrap/>
              <w:overflowPunct/>
              <w:topLinePunct w:val="0"/>
              <w:autoSpaceDE/>
              <w:autoSpaceDN/>
              <w:bidi w:val="0"/>
              <w:snapToGrid/>
              <w:spacing w:line="288" w:lineRule="auto"/>
              <w:jc w:val="center"/>
              <w:textAlignment w:val="auto"/>
            </w:pPr>
          </w:p>
        </w:tc>
      </w:tr>
      <w:tr w14:paraId="3F457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31" w:type="dxa"/>
            <w:tcBorders>
              <w:top w:val="single" w:color="auto" w:sz="6" w:space="0"/>
              <w:left w:val="single" w:color="auto" w:sz="12" w:space="0"/>
              <w:bottom w:val="single" w:color="auto" w:sz="6" w:space="0"/>
              <w:right w:val="single" w:color="auto" w:sz="6" w:space="0"/>
            </w:tcBorders>
            <w:noWrap/>
            <w:vAlign w:val="center"/>
          </w:tcPr>
          <w:p w14:paraId="11B8F87A">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S2</w:t>
            </w:r>
          </w:p>
        </w:tc>
        <w:tc>
          <w:tcPr>
            <w:tcW w:w="851" w:type="dxa"/>
            <w:tcBorders>
              <w:top w:val="single" w:color="auto" w:sz="6" w:space="0"/>
              <w:left w:val="single" w:color="auto" w:sz="6" w:space="0"/>
              <w:bottom w:val="single" w:color="auto" w:sz="6" w:space="0"/>
              <w:right w:val="single" w:color="auto" w:sz="6" w:space="0"/>
            </w:tcBorders>
            <w:noWrap/>
            <w:vAlign w:val="center"/>
          </w:tcPr>
          <w:p w14:paraId="2488CF7A">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40～60</w:t>
            </w:r>
          </w:p>
        </w:tc>
        <w:tc>
          <w:tcPr>
            <w:tcW w:w="567" w:type="dxa"/>
            <w:tcBorders>
              <w:top w:val="single" w:color="auto" w:sz="6" w:space="0"/>
              <w:left w:val="single" w:color="auto" w:sz="6" w:space="0"/>
              <w:bottom w:val="single" w:color="auto" w:sz="6" w:space="0"/>
              <w:right w:val="single" w:color="auto" w:sz="6" w:space="0"/>
            </w:tcBorders>
            <w:noWrap/>
            <w:vAlign w:val="center"/>
          </w:tcPr>
          <w:p w14:paraId="2143F55E">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1021" w:type="dxa"/>
            <w:tcBorders>
              <w:top w:val="single" w:color="auto" w:sz="6" w:space="0"/>
              <w:left w:val="single" w:color="auto" w:sz="6" w:space="0"/>
              <w:bottom w:val="single" w:color="auto" w:sz="6" w:space="0"/>
              <w:right w:val="single" w:color="auto" w:sz="6" w:space="0"/>
            </w:tcBorders>
            <w:noWrap/>
            <w:vAlign w:val="center"/>
          </w:tcPr>
          <w:p w14:paraId="2ED3FC7C">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100</w:t>
            </w:r>
          </w:p>
        </w:tc>
        <w:tc>
          <w:tcPr>
            <w:tcW w:w="993" w:type="dxa"/>
            <w:tcBorders>
              <w:top w:val="single" w:color="auto" w:sz="6" w:space="0"/>
              <w:left w:val="single" w:color="auto" w:sz="6" w:space="0"/>
              <w:bottom w:val="single" w:color="auto" w:sz="6" w:space="0"/>
              <w:right w:val="single" w:color="auto" w:sz="6" w:space="0"/>
            </w:tcBorders>
            <w:noWrap/>
            <w:vAlign w:val="center"/>
          </w:tcPr>
          <w:p w14:paraId="4901699F">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90～100</w:t>
            </w:r>
          </w:p>
        </w:tc>
        <w:tc>
          <w:tcPr>
            <w:tcW w:w="992" w:type="dxa"/>
            <w:tcBorders>
              <w:top w:val="single" w:color="auto" w:sz="6" w:space="0"/>
              <w:left w:val="single" w:color="auto" w:sz="6" w:space="0"/>
              <w:bottom w:val="single" w:color="auto" w:sz="6" w:space="0"/>
              <w:right w:val="single" w:color="auto" w:sz="6" w:space="0"/>
            </w:tcBorders>
            <w:noWrap/>
            <w:vAlign w:val="center"/>
          </w:tcPr>
          <w:p w14:paraId="6243A78D">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6" w:space="0"/>
              <w:right w:val="single" w:color="auto" w:sz="6" w:space="0"/>
            </w:tcBorders>
            <w:noWrap/>
            <w:vAlign w:val="center"/>
          </w:tcPr>
          <w:p w14:paraId="29F9A130">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0～15</w:t>
            </w:r>
          </w:p>
        </w:tc>
        <w:tc>
          <w:tcPr>
            <w:tcW w:w="963" w:type="dxa"/>
            <w:tcBorders>
              <w:top w:val="single" w:color="auto" w:sz="6" w:space="0"/>
              <w:left w:val="single" w:color="auto" w:sz="6" w:space="0"/>
              <w:bottom w:val="single" w:color="auto" w:sz="6" w:space="0"/>
              <w:right w:val="single" w:color="auto" w:sz="6" w:space="0"/>
            </w:tcBorders>
            <w:noWrap/>
            <w:vAlign w:val="center"/>
          </w:tcPr>
          <w:p w14:paraId="71DA593A">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3" w:type="dxa"/>
            <w:tcBorders>
              <w:top w:val="single" w:color="auto" w:sz="6" w:space="0"/>
              <w:left w:val="single" w:color="auto" w:sz="6" w:space="0"/>
              <w:bottom w:val="single" w:color="auto" w:sz="6" w:space="0"/>
              <w:right w:val="single" w:color="auto" w:sz="6" w:space="0"/>
            </w:tcBorders>
            <w:noWrap/>
            <w:vAlign w:val="center"/>
          </w:tcPr>
          <w:p w14:paraId="26A9CFFF">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0～5</w:t>
            </w:r>
          </w:p>
        </w:tc>
        <w:tc>
          <w:tcPr>
            <w:tcW w:w="1025" w:type="dxa"/>
            <w:tcBorders>
              <w:top w:val="single" w:color="auto" w:sz="6" w:space="0"/>
              <w:left w:val="single" w:color="auto" w:sz="6" w:space="0"/>
              <w:bottom w:val="single" w:color="auto" w:sz="6" w:space="0"/>
              <w:right w:val="single" w:color="auto" w:sz="6" w:space="0"/>
            </w:tcBorders>
            <w:noWrap/>
            <w:vAlign w:val="center"/>
          </w:tcPr>
          <w:p w14:paraId="605CB965">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6" w:space="0"/>
              <w:right w:val="single" w:color="auto" w:sz="6" w:space="0"/>
            </w:tcBorders>
            <w:noWrap/>
            <w:vAlign w:val="center"/>
          </w:tcPr>
          <w:p w14:paraId="29CA96C7">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6" w:space="0"/>
              <w:right w:val="single" w:color="auto" w:sz="6" w:space="0"/>
            </w:tcBorders>
            <w:noWrap/>
            <w:vAlign w:val="center"/>
          </w:tcPr>
          <w:p w14:paraId="3F3F7BF3">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6" w:space="0"/>
              <w:right w:val="single" w:color="auto" w:sz="6" w:space="0"/>
            </w:tcBorders>
            <w:noWrap/>
            <w:vAlign w:val="center"/>
          </w:tcPr>
          <w:p w14:paraId="6ECC04C3">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851" w:type="dxa"/>
            <w:tcBorders>
              <w:top w:val="single" w:color="auto" w:sz="6" w:space="0"/>
              <w:left w:val="single" w:color="auto" w:sz="6" w:space="0"/>
              <w:bottom w:val="single" w:color="auto" w:sz="6" w:space="0"/>
              <w:right w:val="single" w:color="auto" w:sz="6" w:space="0"/>
            </w:tcBorders>
            <w:noWrap/>
            <w:vAlign w:val="center"/>
          </w:tcPr>
          <w:p w14:paraId="2EA4D16F">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663" w:type="dxa"/>
            <w:tcBorders>
              <w:top w:val="single" w:color="auto" w:sz="6" w:space="0"/>
              <w:left w:val="single" w:color="auto" w:sz="6" w:space="0"/>
              <w:bottom w:val="single" w:color="auto" w:sz="6" w:space="0"/>
              <w:right w:val="single" w:color="auto" w:sz="12" w:space="0"/>
            </w:tcBorders>
            <w:noWrap/>
            <w:vAlign w:val="center"/>
          </w:tcPr>
          <w:p w14:paraId="38CC25AE">
            <w:pPr>
              <w:keepNext w:val="0"/>
              <w:keepLines w:val="0"/>
              <w:pageBreakBefore w:val="0"/>
              <w:widowControl/>
              <w:kinsoku/>
              <w:wordWrap/>
              <w:overflowPunct/>
              <w:topLinePunct w:val="0"/>
              <w:autoSpaceDE/>
              <w:autoSpaceDN/>
              <w:bidi w:val="0"/>
              <w:snapToGrid/>
              <w:spacing w:line="288" w:lineRule="auto"/>
              <w:jc w:val="center"/>
              <w:textAlignment w:val="auto"/>
            </w:pPr>
          </w:p>
        </w:tc>
      </w:tr>
      <w:tr w14:paraId="5AA90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31" w:type="dxa"/>
            <w:tcBorders>
              <w:top w:val="single" w:color="auto" w:sz="6" w:space="0"/>
              <w:left w:val="single" w:color="auto" w:sz="12" w:space="0"/>
              <w:bottom w:val="single" w:color="auto" w:sz="6" w:space="0"/>
              <w:right w:val="single" w:color="auto" w:sz="6" w:space="0"/>
            </w:tcBorders>
            <w:noWrap/>
            <w:vAlign w:val="center"/>
          </w:tcPr>
          <w:p w14:paraId="10863E60">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S3</w:t>
            </w:r>
          </w:p>
        </w:tc>
        <w:tc>
          <w:tcPr>
            <w:tcW w:w="851" w:type="dxa"/>
            <w:tcBorders>
              <w:top w:val="single" w:color="auto" w:sz="6" w:space="0"/>
              <w:left w:val="single" w:color="auto" w:sz="6" w:space="0"/>
              <w:bottom w:val="single" w:color="auto" w:sz="6" w:space="0"/>
              <w:right w:val="single" w:color="auto" w:sz="6" w:space="0"/>
            </w:tcBorders>
            <w:noWrap/>
            <w:vAlign w:val="center"/>
          </w:tcPr>
          <w:p w14:paraId="300DF585">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30～60</w:t>
            </w:r>
          </w:p>
        </w:tc>
        <w:tc>
          <w:tcPr>
            <w:tcW w:w="567" w:type="dxa"/>
            <w:tcBorders>
              <w:top w:val="single" w:color="auto" w:sz="6" w:space="0"/>
              <w:left w:val="single" w:color="auto" w:sz="6" w:space="0"/>
              <w:bottom w:val="single" w:color="auto" w:sz="6" w:space="0"/>
              <w:right w:val="single" w:color="auto" w:sz="6" w:space="0"/>
            </w:tcBorders>
            <w:noWrap/>
            <w:vAlign w:val="center"/>
          </w:tcPr>
          <w:p w14:paraId="18BAA356">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1021" w:type="dxa"/>
            <w:tcBorders>
              <w:top w:val="single" w:color="auto" w:sz="6" w:space="0"/>
              <w:left w:val="single" w:color="auto" w:sz="6" w:space="0"/>
              <w:bottom w:val="single" w:color="auto" w:sz="6" w:space="0"/>
              <w:right w:val="single" w:color="auto" w:sz="6" w:space="0"/>
            </w:tcBorders>
            <w:noWrap/>
            <w:vAlign w:val="center"/>
          </w:tcPr>
          <w:p w14:paraId="6F44290E">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100</w:t>
            </w:r>
          </w:p>
        </w:tc>
        <w:tc>
          <w:tcPr>
            <w:tcW w:w="993" w:type="dxa"/>
            <w:tcBorders>
              <w:top w:val="single" w:color="auto" w:sz="6" w:space="0"/>
              <w:left w:val="single" w:color="auto" w:sz="6" w:space="0"/>
              <w:bottom w:val="single" w:color="auto" w:sz="6" w:space="0"/>
              <w:right w:val="single" w:color="auto" w:sz="6" w:space="0"/>
            </w:tcBorders>
            <w:noWrap/>
            <w:vAlign w:val="center"/>
          </w:tcPr>
          <w:p w14:paraId="551E71BE">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90～100</w:t>
            </w:r>
          </w:p>
        </w:tc>
        <w:tc>
          <w:tcPr>
            <w:tcW w:w="992" w:type="dxa"/>
            <w:tcBorders>
              <w:top w:val="single" w:color="auto" w:sz="6" w:space="0"/>
              <w:left w:val="single" w:color="auto" w:sz="6" w:space="0"/>
              <w:bottom w:val="single" w:color="auto" w:sz="6" w:space="0"/>
              <w:right w:val="single" w:color="auto" w:sz="6" w:space="0"/>
            </w:tcBorders>
            <w:noWrap/>
            <w:vAlign w:val="center"/>
          </w:tcPr>
          <w:p w14:paraId="1E5595EC">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6" w:space="0"/>
              <w:right w:val="single" w:color="auto" w:sz="6" w:space="0"/>
            </w:tcBorders>
            <w:noWrap/>
            <w:vAlign w:val="center"/>
          </w:tcPr>
          <w:p w14:paraId="19D49232">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63" w:type="dxa"/>
            <w:tcBorders>
              <w:top w:val="single" w:color="auto" w:sz="6" w:space="0"/>
              <w:left w:val="single" w:color="auto" w:sz="6" w:space="0"/>
              <w:bottom w:val="single" w:color="auto" w:sz="6" w:space="0"/>
              <w:right w:val="single" w:color="auto" w:sz="6" w:space="0"/>
            </w:tcBorders>
            <w:noWrap/>
            <w:vAlign w:val="center"/>
          </w:tcPr>
          <w:p w14:paraId="0E34BAB8">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0～15</w:t>
            </w:r>
          </w:p>
        </w:tc>
        <w:tc>
          <w:tcPr>
            <w:tcW w:w="993" w:type="dxa"/>
            <w:tcBorders>
              <w:top w:val="single" w:color="auto" w:sz="6" w:space="0"/>
              <w:left w:val="single" w:color="auto" w:sz="6" w:space="0"/>
              <w:bottom w:val="single" w:color="auto" w:sz="6" w:space="0"/>
              <w:right w:val="single" w:color="auto" w:sz="6" w:space="0"/>
            </w:tcBorders>
            <w:noWrap/>
            <w:vAlign w:val="center"/>
          </w:tcPr>
          <w:p w14:paraId="656C57B7">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1025" w:type="dxa"/>
            <w:tcBorders>
              <w:top w:val="single" w:color="auto" w:sz="6" w:space="0"/>
              <w:left w:val="single" w:color="auto" w:sz="6" w:space="0"/>
              <w:bottom w:val="single" w:color="auto" w:sz="6" w:space="0"/>
              <w:right w:val="single" w:color="auto" w:sz="6" w:space="0"/>
            </w:tcBorders>
            <w:noWrap/>
            <w:vAlign w:val="center"/>
          </w:tcPr>
          <w:p w14:paraId="44A3A1AB">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0～5</w:t>
            </w:r>
          </w:p>
        </w:tc>
        <w:tc>
          <w:tcPr>
            <w:tcW w:w="992" w:type="dxa"/>
            <w:tcBorders>
              <w:top w:val="single" w:color="auto" w:sz="6" w:space="0"/>
              <w:left w:val="single" w:color="auto" w:sz="6" w:space="0"/>
              <w:bottom w:val="single" w:color="auto" w:sz="6" w:space="0"/>
              <w:right w:val="single" w:color="auto" w:sz="6" w:space="0"/>
            </w:tcBorders>
            <w:noWrap/>
            <w:vAlign w:val="center"/>
          </w:tcPr>
          <w:p w14:paraId="2CC595C7">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6" w:space="0"/>
              <w:right w:val="single" w:color="auto" w:sz="6" w:space="0"/>
            </w:tcBorders>
            <w:noWrap/>
            <w:vAlign w:val="center"/>
          </w:tcPr>
          <w:p w14:paraId="7F4B6A67">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6" w:space="0"/>
              <w:right w:val="single" w:color="auto" w:sz="6" w:space="0"/>
            </w:tcBorders>
            <w:noWrap/>
            <w:vAlign w:val="center"/>
          </w:tcPr>
          <w:p w14:paraId="0D7A233C">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851" w:type="dxa"/>
            <w:tcBorders>
              <w:top w:val="single" w:color="auto" w:sz="6" w:space="0"/>
              <w:left w:val="single" w:color="auto" w:sz="6" w:space="0"/>
              <w:bottom w:val="single" w:color="auto" w:sz="6" w:space="0"/>
              <w:right w:val="single" w:color="auto" w:sz="6" w:space="0"/>
            </w:tcBorders>
            <w:noWrap/>
            <w:vAlign w:val="center"/>
          </w:tcPr>
          <w:p w14:paraId="4C6A46B2">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663" w:type="dxa"/>
            <w:tcBorders>
              <w:top w:val="single" w:color="auto" w:sz="6" w:space="0"/>
              <w:left w:val="single" w:color="auto" w:sz="6" w:space="0"/>
              <w:bottom w:val="single" w:color="auto" w:sz="6" w:space="0"/>
              <w:right w:val="single" w:color="auto" w:sz="12" w:space="0"/>
            </w:tcBorders>
            <w:noWrap/>
            <w:vAlign w:val="center"/>
          </w:tcPr>
          <w:p w14:paraId="56CA7E8F">
            <w:pPr>
              <w:keepNext w:val="0"/>
              <w:keepLines w:val="0"/>
              <w:pageBreakBefore w:val="0"/>
              <w:widowControl/>
              <w:kinsoku/>
              <w:wordWrap/>
              <w:overflowPunct/>
              <w:topLinePunct w:val="0"/>
              <w:autoSpaceDE/>
              <w:autoSpaceDN/>
              <w:bidi w:val="0"/>
              <w:snapToGrid/>
              <w:spacing w:line="288" w:lineRule="auto"/>
              <w:jc w:val="center"/>
              <w:textAlignment w:val="auto"/>
            </w:pPr>
          </w:p>
        </w:tc>
      </w:tr>
      <w:tr w14:paraId="657BE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31" w:type="dxa"/>
            <w:tcBorders>
              <w:top w:val="single" w:color="auto" w:sz="6" w:space="0"/>
              <w:left w:val="single" w:color="auto" w:sz="12" w:space="0"/>
              <w:bottom w:val="single" w:color="auto" w:sz="6" w:space="0"/>
              <w:right w:val="single" w:color="auto" w:sz="6" w:space="0"/>
            </w:tcBorders>
            <w:noWrap/>
            <w:vAlign w:val="center"/>
          </w:tcPr>
          <w:p w14:paraId="50484AE6">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S4</w:t>
            </w:r>
          </w:p>
        </w:tc>
        <w:tc>
          <w:tcPr>
            <w:tcW w:w="851" w:type="dxa"/>
            <w:tcBorders>
              <w:top w:val="single" w:color="auto" w:sz="6" w:space="0"/>
              <w:left w:val="single" w:color="auto" w:sz="6" w:space="0"/>
              <w:bottom w:val="single" w:color="auto" w:sz="6" w:space="0"/>
              <w:right w:val="single" w:color="auto" w:sz="6" w:space="0"/>
            </w:tcBorders>
            <w:noWrap/>
            <w:vAlign w:val="center"/>
          </w:tcPr>
          <w:p w14:paraId="133A5229">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25～50</w:t>
            </w:r>
          </w:p>
        </w:tc>
        <w:tc>
          <w:tcPr>
            <w:tcW w:w="567" w:type="dxa"/>
            <w:tcBorders>
              <w:top w:val="single" w:color="auto" w:sz="6" w:space="0"/>
              <w:left w:val="single" w:color="auto" w:sz="6" w:space="0"/>
              <w:bottom w:val="single" w:color="auto" w:sz="6" w:space="0"/>
              <w:right w:val="single" w:color="auto" w:sz="6" w:space="0"/>
            </w:tcBorders>
            <w:noWrap/>
            <w:vAlign w:val="center"/>
          </w:tcPr>
          <w:p w14:paraId="7F9BEEFC">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1021" w:type="dxa"/>
            <w:tcBorders>
              <w:top w:val="single" w:color="auto" w:sz="6" w:space="0"/>
              <w:left w:val="single" w:color="auto" w:sz="6" w:space="0"/>
              <w:bottom w:val="single" w:color="auto" w:sz="6" w:space="0"/>
              <w:right w:val="single" w:color="auto" w:sz="6" w:space="0"/>
            </w:tcBorders>
            <w:noWrap/>
            <w:vAlign w:val="center"/>
          </w:tcPr>
          <w:p w14:paraId="3928D06E">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3" w:type="dxa"/>
            <w:tcBorders>
              <w:top w:val="single" w:color="auto" w:sz="6" w:space="0"/>
              <w:left w:val="single" w:color="auto" w:sz="6" w:space="0"/>
              <w:bottom w:val="single" w:color="auto" w:sz="6" w:space="0"/>
              <w:right w:val="single" w:color="auto" w:sz="6" w:space="0"/>
            </w:tcBorders>
            <w:noWrap/>
            <w:vAlign w:val="center"/>
          </w:tcPr>
          <w:p w14:paraId="7F111F02">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100</w:t>
            </w:r>
          </w:p>
        </w:tc>
        <w:tc>
          <w:tcPr>
            <w:tcW w:w="992" w:type="dxa"/>
            <w:tcBorders>
              <w:top w:val="single" w:color="auto" w:sz="6" w:space="0"/>
              <w:left w:val="single" w:color="auto" w:sz="6" w:space="0"/>
              <w:bottom w:val="single" w:color="auto" w:sz="6" w:space="0"/>
              <w:right w:val="single" w:color="auto" w:sz="6" w:space="0"/>
            </w:tcBorders>
            <w:noWrap/>
            <w:vAlign w:val="center"/>
          </w:tcPr>
          <w:p w14:paraId="2D280F63">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90～100</w:t>
            </w:r>
          </w:p>
        </w:tc>
        <w:tc>
          <w:tcPr>
            <w:tcW w:w="992" w:type="dxa"/>
            <w:tcBorders>
              <w:top w:val="single" w:color="auto" w:sz="6" w:space="0"/>
              <w:left w:val="single" w:color="auto" w:sz="6" w:space="0"/>
              <w:bottom w:val="single" w:color="auto" w:sz="6" w:space="0"/>
              <w:right w:val="single" w:color="auto" w:sz="6" w:space="0"/>
            </w:tcBorders>
            <w:noWrap/>
            <w:vAlign w:val="center"/>
          </w:tcPr>
          <w:p w14:paraId="2D09E2AF">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63" w:type="dxa"/>
            <w:tcBorders>
              <w:top w:val="single" w:color="auto" w:sz="6" w:space="0"/>
              <w:left w:val="single" w:color="auto" w:sz="6" w:space="0"/>
              <w:bottom w:val="single" w:color="auto" w:sz="6" w:space="0"/>
              <w:right w:val="single" w:color="auto" w:sz="6" w:space="0"/>
            </w:tcBorders>
            <w:noWrap/>
            <w:vAlign w:val="center"/>
          </w:tcPr>
          <w:p w14:paraId="410B59DC">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3" w:type="dxa"/>
            <w:tcBorders>
              <w:top w:val="single" w:color="auto" w:sz="6" w:space="0"/>
              <w:left w:val="single" w:color="auto" w:sz="6" w:space="0"/>
              <w:bottom w:val="single" w:color="auto" w:sz="6" w:space="0"/>
              <w:right w:val="single" w:color="auto" w:sz="6" w:space="0"/>
            </w:tcBorders>
            <w:noWrap/>
            <w:vAlign w:val="center"/>
          </w:tcPr>
          <w:p w14:paraId="673B1AA9">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0～15</w:t>
            </w:r>
          </w:p>
        </w:tc>
        <w:tc>
          <w:tcPr>
            <w:tcW w:w="1025" w:type="dxa"/>
            <w:tcBorders>
              <w:top w:val="single" w:color="auto" w:sz="6" w:space="0"/>
              <w:left w:val="single" w:color="auto" w:sz="6" w:space="0"/>
              <w:bottom w:val="single" w:color="auto" w:sz="6" w:space="0"/>
              <w:right w:val="single" w:color="auto" w:sz="6" w:space="0"/>
            </w:tcBorders>
            <w:noWrap/>
            <w:vAlign w:val="center"/>
          </w:tcPr>
          <w:p w14:paraId="36C02E2A">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6" w:space="0"/>
              <w:right w:val="single" w:color="auto" w:sz="6" w:space="0"/>
            </w:tcBorders>
            <w:noWrap/>
            <w:vAlign w:val="center"/>
          </w:tcPr>
          <w:p w14:paraId="3482D087">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0～5</w:t>
            </w:r>
          </w:p>
        </w:tc>
        <w:tc>
          <w:tcPr>
            <w:tcW w:w="992" w:type="dxa"/>
            <w:tcBorders>
              <w:top w:val="single" w:color="auto" w:sz="6" w:space="0"/>
              <w:left w:val="single" w:color="auto" w:sz="6" w:space="0"/>
              <w:bottom w:val="single" w:color="auto" w:sz="6" w:space="0"/>
              <w:right w:val="single" w:color="auto" w:sz="6" w:space="0"/>
            </w:tcBorders>
            <w:noWrap/>
            <w:vAlign w:val="center"/>
          </w:tcPr>
          <w:p w14:paraId="5EC9D4E1">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6" w:space="0"/>
              <w:right w:val="single" w:color="auto" w:sz="6" w:space="0"/>
            </w:tcBorders>
            <w:noWrap/>
            <w:vAlign w:val="center"/>
          </w:tcPr>
          <w:p w14:paraId="3A6E3AEF">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851" w:type="dxa"/>
            <w:tcBorders>
              <w:top w:val="single" w:color="auto" w:sz="6" w:space="0"/>
              <w:left w:val="single" w:color="auto" w:sz="6" w:space="0"/>
              <w:bottom w:val="single" w:color="auto" w:sz="6" w:space="0"/>
              <w:right w:val="single" w:color="auto" w:sz="6" w:space="0"/>
            </w:tcBorders>
            <w:noWrap/>
            <w:vAlign w:val="center"/>
          </w:tcPr>
          <w:p w14:paraId="7F3F6C1D">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663" w:type="dxa"/>
            <w:tcBorders>
              <w:top w:val="single" w:color="auto" w:sz="6" w:space="0"/>
              <w:left w:val="single" w:color="auto" w:sz="6" w:space="0"/>
              <w:bottom w:val="single" w:color="auto" w:sz="6" w:space="0"/>
              <w:right w:val="single" w:color="auto" w:sz="12" w:space="0"/>
            </w:tcBorders>
            <w:noWrap/>
            <w:vAlign w:val="center"/>
          </w:tcPr>
          <w:p w14:paraId="7E202A8E">
            <w:pPr>
              <w:keepNext w:val="0"/>
              <w:keepLines w:val="0"/>
              <w:pageBreakBefore w:val="0"/>
              <w:widowControl/>
              <w:kinsoku/>
              <w:wordWrap/>
              <w:overflowPunct/>
              <w:topLinePunct w:val="0"/>
              <w:autoSpaceDE/>
              <w:autoSpaceDN/>
              <w:bidi w:val="0"/>
              <w:snapToGrid/>
              <w:spacing w:line="288" w:lineRule="auto"/>
              <w:jc w:val="center"/>
              <w:textAlignment w:val="auto"/>
            </w:pPr>
          </w:p>
        </w:tc>
      </w:tr>
      <w:tr w14:paraId="64C3D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31" w:type="dxa"/>
            <w:tcBorders>
              <w:top w:val="single" w:color="auto" w:sz="6" w:space="0"/>
              <w:left w:val="single" w:color="auto" w:sz="12" w:space="0"/>
              <w:bottom w:val="single" w:color="auto" w:sz="6" w:space="0"/>
              <w:right w:val="single" w:color="auto" w:sz="6" w:space="0"/>
            </w:tcBorders>
            <w:noWrap/>
            <w:vAlign w:val="center"/>
          </w:tcPr>
          <w:p w14:paraId="1664F549">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S5</w:t>
            </w:r>
          </w:p>
        </w:tc>
        <w:tc>
          <w:tcPr>
            <w:tcW w:w="851" w:type="dxa"/>
            <w:tcBorders>
              <w:top w:val="single" w:color="auto" w:sz="6" w:space="0"/>
              <w:left w:val="single" w:color="auto" w:sz="6" w:space="0"/>
              <w:bottom w:val="single" w:color="auto" w:sz="6" w:space="0"/>
              <w:right w:val="single" w:color="auto" w:sz="6" w:space="0"/>
            </w:tcBorders>
            <w:noWrap/>
            <w:vAlign w:val="center"/>
          </w:tcPr>
          <w:p w14:paraId="30CDBD19">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20～40</w:t>
            </w:r>
          </w:p>
        </w:tc>
        <w:tc>
          <w:tcPr>
            <w:tcW w:w="567" w:type="dxa"/>
            <w:tcBorders>
              <w:top w:val="single" w:color="auto" w:sz="6" w:space="0"/>
              <w:left w:val="single" w:color="auto" w:sz="6" w:space="0"/>
              <w:bottom w:val="single" w:color="auto" w:sz="6" w:space="0"/>
              <w:right w:val="single" w:color="auto" w:sz="6" w:space="0"/>
            </w:tcBorders>
            <w:noWrap/>
            <w:vAlign w:val="center"/>
          </w:tcPr>
          <w:p w14:paraId="7778F817">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1021" w:type="dxa"/>
            <w:tcBorders>
              <w:top w:val="single" w:color="auto" w:sz="6" w:space="0"/>
              <w:left w:val="single" w:color="auto" w:sz="6" w:space="0"/>
              <w:bottom w:val="single" w:color="auto" w:sz="6" w:space="0"/>
              <w:right w:val="single" w:color="auto" w:sz="6" w:space="0"/>
            </w:tcBorders>
            <w:noWrap/>
            <w:vAlign w:val="center"/>
          </w:tcPr>
          <w:p w14:paraId="6A1E5D28">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3" w:type="dxa"/>
            <w:tcBorders>
              <w:top w:val="single" w:color="auto" w:sz="6" w:space="0"/>
              <w:left w:val="single" w:color="auto" w:sz="6" w:space="0"/>
              <w:bottom w:val="single" w:color="auto" w:sz="6" w:space="0"/>
              <w:right w:val="single" w:color="auto" w:sz="6" w:space="0"/>
            </w:tcBorders>
            <w:noWrap/>
            <w:vAlign w:val="center"/>
          </w:tcPr>
          <w:p w14:paraId="35802EBA">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6" w:space="0"/>
              <w:right w:val="single" w:color="auto" w:sz="6" w:space="0"/>
            </w:tcBorders>
            <w:noWrap/>
            <w:vAlign w:val="center"/>
          </w:tcPr>
          <w:p w14:paraId="6BC3D0B8">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100</w:t>
            </w:r>
          </w:p>
        </w:tc>
        <w:tc>
          <w:tcPr>
            <w:tcW w:w="992" w:type="dxa"/>
            <w:tcBorders>
              <w:top w:val="single" w:color="auto" w:sz="6" w:space="0"/>
              <w:left w:val="single" w:color="auto" w:sz="6" w:space="0"/>
              <w:bottom w:val="single" w:color="auto" w:sz="6" w:space="0"/>
              <w:right w:val="single" w:color="auto" w:sz="6" w:space="0"/>
            </w:tcBorders>
            <w:noWrap/>
            <w:vAlign w:val="center"/>
          </w:tcPr>
          <w:p w14:paraId="2C7E893A">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90～100</w:t>
            </w:r>
          </w:p>
        </w:tc>
        <w:tc>
          <w:tcPr>
            <w:tcW w:w="963" w:type="dxa"/>
            <w:tcBorders>
              <w:top w:val="single" w:color="auto" w:sz="6" w:space="0"/>
              <w:left w:val="single" w:color="auto" w:sz="6" w:space="0"/>
              <w:bottom w:val="single" w:color="auto" w:sz="6" w:space="0"/>
              <w:right w:val="single" w:color="auto" w:sz="6" w:space="0"/>
            </w:tcBorders>
            <w:noWrap/>
            <w:vAlign w:val="center"/>
          </w:tcPr>
          <w:p w14:paraId="120DBB93">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3" w:type="dxa"/>
            <w:tcBorders>
              <w:top w:val="single" w:color="auto" w:sz="6" w:space="0"/>
              <w:left w:val="single" w:color="auto" w:sz="6" w:space="0"/>
              <w:bottom w:val="single" w:color="auto" w:sz="6" w:space="0"/>
              <w:right w:val="single" w:color="auto" w:sz="6" w:space="0"/>
            </w:tcBorders>
            <w:noWrap/>
            <w:vAlign w:val="center"/>
          </w:tcPr>
          <w:p w14:paraId="3F6081D4">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1025" w:type="dxa"/>
            <w:tcBorders>
              <w:top w:val="single" w:color="auto" w:sz="6" w:space="0"/>
              <w:left w:val="single" w:color="auto" w:sz="6" w:space="0"/>
              <w:bottom w:val="single" w:color="auto" w:sz="6" w:space="0"/>
              <w:right w:val="single" w:color="auto" w:sz="6" w:space="0"/>
            </w:tcBorders>
            <w:noWrap/>
            <w:vAlign w:val="center"/>
          </w:tcPr>
          <w:p w14:paraId="6AA3624D">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0～15</w:t>
            </w:r>
          </w:p>
        </w:tc>
        <w:tc>
          <w:tcPr>
            <w:tcW w:w="992" w:type="dxa"/>
            <w:tcBorders>
              <w:top w:val="single" w:color="auto" w:sz="6" w:space="0"/>
              <w:left w:val="single" w:color="auto" w:sz="6" w:space="0"/>
              <w:bottom w:val="single" w:color="auto" w:sz="6" w:space="0"/>
              <w:right w:val="single" w:color="auto" w:sz="6" w:space="0"/>
            </w:tcBorders>
            <w:noWrap/>
            <w:vAlign w:val="center"/>
          </w:tcPr>
          <w:p w14:paraId="44E406EC">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6" w:space="0"/>
              <w:right w:val="single" w:color="auto" w:sz="6" w:space="0"/>
            </w:tcBorders>
            <w:noWrap/>
            <w:vAlign w:val="center"/>
          </w:tcPr>
          <w:p w14:paraId="1B370C4A">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0～5</w:t>
            </w:r>
          </w:p>
        </w:tc>
        <w:tc>
          <w:tcPr>
            <w:tcW w:w="992" w:type="dxa"/>
            <w:tcBorders>
              <w:top w:val="single" w:color="auto" w:sz="6" w:space="0"/>
              <w:left w:val="single" w:color="auto" w:sz="6" w:space="0"/>
              <w:bottom w:val="single" w:color="auto" w:sz="6" w:space="0"/>
              <w:right w:val="single" w:color="auto" w:sz="6" w:space="0"/>
            </w:tcBorders>
            <w:noWrap/>
            <w:vAlign w:val="center"/>
          </w:tcPr>
          <w:p w14:paraId="167A0C06">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851" w:type="dxa"/>
            <w:tcBorders>
              <w:top w:val="single" w:color="auto" w:sz="6" w:space="0"/>
              <w:left w:val="single" w:color="auto" w:sz="6" w:space="0"/>
              <w:bottom w:val="single" w:color="auto" w:sz="6" w:space="0"/>
              <w:right w:val="single" w:color="auto" w:sz="6" w:space="0"/>
            </w:tcBorders>
            <w:noWrap/>
            <w:vAlign w:val="center"/>
          </w:tcPr>
          <w:p w14:paraId="61C4D252">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663" w:type="dxa"/>
            <w:tcBorders>
              <w:top w:val="single" w:color="auto" w:sz="6" w:space="0"/>
              <w:left w:val="single" w:color="auto" w:sz="6" w:space="0"/>
              <w:bottom w:val="single" w:color="auto" w:sz="6" w:space="0"/>
              <w:right w:val="single" w:color="auto" w:sz="12" w:space="0"/>
            </w:tcBorders>
            <w:noWrap/>
            <w:vAlign w:val="center"/>
          </w:tcPr>
          <w:p w14:paraId="20133D1B">
            <w:pPr>
              <w:keepNext w:val="0"/>
              <w:keepLines w:val="0"/>
              <w:pageBreakBefore w:val="0"/>
              <w:widowControl/>
              <w:kinsoku/>
              <w:wordWrap/>
              <w:overflowPunct/>
              <w:topLinePunct w:val="0"/>
              <w:autoSpaceDE/>
              <w:autoSpaceDN/>
              <w:bidi w:val="0"/>
              <w:snapToGrid/>
              <w:spacing w:line="288" w:lineRule="auto"/>
              <w:jc w:val="center"/>
              <w:textAlignment w:val="auto"/>
            </w:pPr>
          </w:p>
        </w:tc>
      </w:tr>
      <w:tr w14:paraId="002CB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31" w:type="dxa"/>
            <w:tcBorders>
              <w:top w:val="single" w:color="auto" w:sz="6" w:space="0"/>
              <w:left w:val="single" w:color="auto" w:sz="12" w:space="0"/>
              <w:bottom w:val="single" w:color="auto" w:sz="6" w:space="0"/>
              <w:right w:val="single" w:color="auto" w:sz="6" w:space="0"/>
            </w:tcBorders>
            <w:noWrap/>
            <w:vAlign w:val="center"/>
          </w:tcPr>
          <w:p w14:paraId="6F3A3A8C">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S6</w:t>
            </w:r>
          </w:p>
        </w:tc>
        <w:tc>
          <w:tcPr>
            <w:tcW w:w="851" w:type="dxa"/>
            <w:tcBorders>
              <w:top w:val="single" w:color="auto" w:sz="6" w:space="0"/>
              <w:left w:val="single" w:color="auto" w:sz="6" w:space="0"/>
              <w:bottom w:val="single" w:color="auto" w:sz="6" w:space="0"/>
              <w:right w:val="single" w:color="auto" w:sz="6" w:space="0"/>
            </w:tcBorders>
            <w:noWrap/>
            <w:vAlign w:val="center"/>
          </w:tcPr>
          <w:p w14:paraId="289B308B">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15～30</w:t>
            </w:r>
          </w:p>
        </w:tc>
        <w:tc>
          <w:tcPr>
            <w:tcW w:w="567" w:type="dxa"/>
            <w:tcBorders>
              <w:top w:val="single" w:color="auto" w:sz="6" w:space="0"/>
              <w:left w:val="single" w:color="auto" w:sz="6" w:space="0"/>
              <w:bottom w:val="single" w:color="auto" w:sz="6" w:space="0"/>
              <w:right w:val="single" w:color="auto" w:sz="6" w:space="0"/>
            </w:tcBorders>
            <w:noWrap/>
            <w:vAlign w:val="center"/>
          </w:tcPr>
          <w:p w14:paraId="176BE521">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1021" w:type="dxa"/>
            <w:tcBorders>
              <w:top w:val="single" w:color="auto" w:sz="6" w:space="0"/>
              <w:left w:val="single" w:color="auto" w:sz="6" w:space="0"/>
              <w:bottom w:val="single" w:color="auto" w:sz="6" w:space="0"/>
              <w:right w:val="single" w:color="auto" w:sz="6" w:space="0"/>
            </w:tcBorders>
            <w:noWrap/>
            <w:vAlign w:val="center"/>
          </w:tcPr>
          <w:p w14:paraId="2683DEA5">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3" w:type="dxa"/>
            <w:tcBorders>
              <w:top w:val="single" w:color="auto" w:sz="6" w:space="0"/>
              <w:left w:val="single" w:color="auto" w:sz="6" w:space="0"/>
              <w:bottom w:val="single" w:color="auto" w:sz="6" w:space="0"/>
              <w:right w:val="single" w:color="auto" w:sz="6" w:space="0"/>
            </w:tcBorders>
            <w:noWrap/>
            <w:vAlign w:val="center"/>
          </w:tcPr>
          <w:p w14:paraId="687FFF79">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6" w:space="0"/>
              <w:right w:val="single" w:color="auto" w:sz="6" w:space="0"/>
            </w:tcBorders>
            <w:noWrap/>
            <w:vAlign w:val="center"/>
          </w:tcPr>
          <w:p w14:paraId="437A27EA">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6" w:space="0"/>
              <w:right w:val="single" w:color="auto" w:sz="6" w:space="0"/>
            </w:tcBorders>
            <w:noWrap/>
            <w:vAlign w:val="center"/>
          </w:tcPr>
          <w:p w14:paraId="1459B97C">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100</w:t>
            </w:r>
          </w:p>
        </w:tc>
        <w:tc>
          <w:tcPr>
            <w:tcW w:w="963" w:type="dxa"/>
            <w:tcBorders>
              <w:top w:val="single" w:color="auto" w:sz="6" w:space="0"/>
              <w:left w:val="single" w:color="auto" w:sz="6" w:space="0"/>
              <w:bottom w:val="single" w:color="auto" w:sz="6" w:space="0"/>
              <w:right w:val="single" w:color="auto" w:sz="6" w:space="0"/>
            </w:tcBorders>
            <w:noWrap/>
            <w:vAlign w:val="center"/>
          </w:tcPr>
          <w:p w14:paraId="0E92DFBC">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90～100</w:t>
            </w:r>
          </w:p>
        </w:tc>
        <w:tc>
          <w:tcPr>
            <w:tcW w:w="993" w:type="dxa"/>
            <w:tcBorders>
              <w:top w:val="single" w:color="auto" w:sz="6" w:space="0"/>
              <w:left w:val="single" w:color="auto" w:sz="6" w:space="0"/>
              <w:bottom w:val="single" w:color="auto" w:sz="6" w:space="0"/>
              <w:right w:val="single" w:color="auto" w:sz="6" w:space="0"/>
            </w:tcBorders>
            <w:noWrap/>
            <w:vAlign w:val="center"/>
          </w:tcPr>
          <w:p w14:paraId="464A1217">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1025" w:type="dxa"/>
            <w:tcBorders>
              <w:top w:val="single" w:color="auto" w:sz="6" w:space="0"/>
              <w:left w:val="single" w:color="auto" w:sz="6" w:space="0"/>
              <w:bottom w:val="single" w:color="auto" w:sz="6" w:space="0"/>
              <w:right w:val="single" w:color="auto" w:sz="6" w:space="0"/>
            </w:tcBorders>
            <w:noWrap/>
            <w:vAlign w:val="center"/>
          </w:tcPr>
          <w:p w14:paraId="31D79507">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6" w:space="0"/>
              <w:right w:val="single" w:color="auto" w:sz="6" w:space="0"/>
            </w:tcBorders>
            <w:noWrap/>
            <w:vAlign w:val="center"/>
          </w:tcPr>
          <w:p w14:paraId="408E1D8F">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0～15</w:t>
            </w:r>
          </w:p>
        </w:tc>
        <w:tc>
          <w:tcPr>
            <w:tcW w:w="992" w:type="dxa"/>
            <w:tcBorders>
              <w:top w:val="single" w:color="auto" w:sz="6" w:space="0"/>
              <w:left w:val="single" w:color="auto" w:sz="6" w:space="0"/>
              <w:bottom w:val="single" w:color="auto" w:sz="6" w:space="0"/>
              <w:right w:val="single" w:color="auto" w:sz="6" w:space="0"/>
            </w:tcBorders>
            <w:noWrap/>
            <w:vAlign w:val="center"/>
          </w:tcPr>
          <w:p w14:paraId="0085B58E">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6" w:space="0"/>
              <w:right w:val="single" w:color="auto" w:sz="6" w:space="0"/>
            </w:tcBorders>
            <w:noWrap/>
            <w:vAlign w:val="center"/>
          </w:tcPr>
          <w:p w14:paraId="105DBF01">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0～5</w:t>
            </w:r>
          </w:p>
        </w:tc>
        <w:tc>
          <w:tcPr>
            <w:tcW w:w="851" w:type="dxa"/>
            <w:tcBorders>
              <w:top w:val="single" w:color="auto" w:sz="6" w:space="0"/>
              <w:left w:val="single" w:color="auto" w:sz="6" w:space="0"/>
              <w:bottom w:val="single" w:color="auto" w:sz="6" w:space="0"/>
              <w:right w:val="single" w:color="auto" w:sz="6" w:space="0"/>
            </w:tcBorders>
            <w:noWrap/>
            <w:vAlign w:val="center"/>
          </w:tcPr>
          <w:p w14:paraId="1C1CE533">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663" w:type="dxa"/>
            <w:tcBorders>
              <w:top w:val="single" w:color="auto" w:sz="6" w:space="0"/>
              <w:left w:val="single" w:color="auto" w:sz="6" w:space="0"/>
              <w:bottom w:val="single" w:color="auto" w:sz="6" w:space="0"/>
              <w:right w:val="single" w:color="auto" w:sz="12" w:space="0"/>
            </w:tcBorders>
            <w:noWrap/>
            <w:vAlign w:val="center"/>
          </w:tcPr>
          <w:p w14:paraId="718800C6">
            <w:pPr>
              <w:keepNext w:val="0"/>
              <w:keepLines w:val="0"/>
              <w:pageBreakBefore w:val="0"/>
              <w:widowControl/>
              <w:kinsoku/>
              <w:wordWrap/>
              <w:overflowPunct/>
              <w:topLinePunct w:val="0"/>
              <w:autoSpaceDE/>
              <w:autoSpaceDN/>
              <w:bidi w:val="0"/>
              <w:snapToGrid/>
              <w:spacing w:line="288" w:lineRule="auto"/>
              <w:jc w:val="center"/>
              <w:textAlignment w:val="auto"/>
            </w:pPr>
          </w:p>
        </w:tc>
      </w:tr>
      <w:tr w14:paraId="2D519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31" w:type="dxa"/>
            <w:tcBorders>
              <w:top w:val="single" w:color="auto" w:sz="6" w:space="0"/>
              <w:left w:val="single" w:color="auto" w:sz="12" w:space="0"/>
              <w:bottom w:val="single" w:color="auto" w:sz="6" w:space="0"/>
              <w:right w:val="single" w:color="auto" w:sz="6" w:space="0"/>
            </w:tcBorders>
            <w:noWrap/>
            <w:vAlign w:val="center"/>
          </w:tcPr>
          <w:p w14:paraId="4DEC803E">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S7</w:t>
            </w:r>
          </w:p>
        </w:tc>
        <w:tc>
          <w:tcPr>
            <w:tcW w:w="851" w:type="dxa"/>
            <w:tcBorders>
              <w:top w:val="single" w:color="auto" w:sz="6" w:space="0"/>
              <w:left w:val="single" w:color="auto" w:sz="6" w:space="0"/>
              <w:bottom w:val="single" w:color="auto" w:sz="6" w:space="0"/>
              <w:right w:val="single" w:color="auto" w:sz="6" w:space="0"/>
            </w:tcBorders>
            <w:noWrap/>
            <w:vAlign w:val="center"/>
          </w:tcPr>
          <w:p w14:paraId="23FAF42C">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10～30</w:t>
            </w:r>
          </w:p>
        </w:tc>
        <w:tc>
          <w:tcPr>
            <w:tcW w:w="567" w:type="dxa"/>
            <w:tcBorders>
              <w:top w:val="single" w:color="auto" w:sz="6" w:space="0"/>
              <w:left w:val="single" w:color="auto" w:sz="6" w:space="0"/>
              <w:bottom w:val="single" w:color="auto" w:sz="6" w:space="0"/>
              <w:right w:val="single" w:color="auto" w:sz="6" w:space="0"/>
            </w:tcBorders>
            <w:noWrap/>
            <w:vAlign w:val="center"/>
          </w:tcPr>
          <w:p w14:paraId="3DC69297">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1021" w:type="dxa"/>
            <w:tcBorders>
              <w:top w:val="single" w:color="auto" w:sz="6" w:space="0"/>
              <w:left w:val="single" w:color="auto" w:sz="6" w:space="0"/>
              <w:bottom w:val="single" w:color="auto" w:sz="6" w:space="0"/>
              <w:right w:val="single" w:color="auto" w:sz="6" w:space="0"/>
            </w:tcBorders>
            <w:noWrap/>
            <w:vAlign w:val="center"/>
          </w:tcPr>
          <w:p w14:paraId="74E95165">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3" w:type="dxa"/>
            <w:tcBorders>
              <w:top w:val="single" w:color="auto" w:sz="6" w:space="0"/>
              <w:left w:val="single" w:color="auto" w:sz="6" w:space="0"/>
              <w:bottom w:val="single" w:color="auto" w:sz="6" w:space="0"/>
              <w:right w:val="single" w:color="auto" w:sz="6" w:space="0"/>
            </w:tcBorders>
            <w:noWrap/>
            <w:vAlign w:val="center"/>
          </w:tcPr>
          <w:p w14:paraId="679CEB87">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6" w:space="0"/>
              <w:right w:val="single" w:color="auto" w:sz="6" w:space="0"/>
            </w:tcBorders>
            <w:noWrap/>
            <w:vAlign w:val="center"/>
          </w:tcPr>
          <w:p w14:paraId="075439F5">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6" w:space="0"/>
              <w:right w:val="single" w:color="auto" w:sz="6" w:space="0"/>
            </w:tcBorders>
            <w:noWrap/>
            <w:vAlign w:val="center"/>
          </w:tcPr>
          <w:p w14:paraId="3C3BA6CF">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100</w:t>
            </w:r>
          </w:p>
        </w:tc>
        <w:tc>
          <w:tcPr>
            <w:tcW w:w="963" w:type="dxa"/>
            <w:tcBorders>
              <w:top w:val="single" w:color="auto" w:sz="6" w:space="0"/>
              <w:left w:val="single" w:color="auto" w:sz="6" w:space="0"/>
              <w:bottom w:val="single" w:color="auto" w:sz="6" w:space="0"/>
              <w:right w:val="single" w:color="auto" w:sz="6" w:space="0"/>
            </w:tcBorders>
            <w:noWrap/>
            <w:vAlign w:val="center"/>
          </w:tcPr>
          <w:p w14:paraId="57372AA6">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90～100</w:t>
            </w:r>
          </w:p>
        </w:tc>
        <w:tc>
          <w:tcPr>
            <w:tcW w:w="993" w:type="dxa"/>
            <w:tcBorders>
              <w:top w:val="single" w:color="auto" w:sz="6" w:space="0"/>
              <w:left w:val="single" w:color="auto" w:sz="6" w:space="0"/>
              <w:bottom w:val="single" w:color="auto" w:sz="6" w:space="0"/>
              <w:right w:val="single" w:color="auto" w:sz="6" w:space="0"/>
            </w:tcBorders>
            <w:noWrap/>
            <w:vAlign w:val="center"/>
          </w:tcPr>
          <w:p w14:paraId="312BB5DB">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1025" w:type="dxa"/>
            <w:tcBorders>
              <w:top w:val="single" w:color="auto" w:sz="6" w:space="0"/>
              <w:left w:val="single" w:color="auto" w:sz="6" w:space="0"/>
              <w:bottom w:val="single" w:color="auto" w:sz="6" w:space="0"/>
              <w:right w:val="single" w:color="auto" w:sz="6" w:space="0"/>
            </w:tcBorders>
            <w:noWrap/>
            <w:vAlign w:val="center"/>
          </w:tcPr>
          <w:p w14:paraId="2362780B">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6" w:space="0"/>
              <w:right w:val="single" w:color="auto" w:sz="6" w:space="0"/>
            </w:tcBorders>
            <w:noWrap/>
            <w:vAlign w:val="center"/>
          </w:tcPr>
          <w:p w14:paraId="452EE3C1">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6" w:space="0"/>
              <w:right w:val="single" w:color="auto" w:sz="6" w:space="0"/>
            </w:tcBorders>
            <w:noWrap/>
            <w:vAlign w:val="center"/>
          </w:tcPr>
          <w:p w14:paraId="657AE0AC">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0～15</w:t>
            </w:r>
          </w:p>
        </w:tc>
        <w:tc>
          <w:tcPr>
            <w:tcW w:w="992" w:type="dxa"/>
            <w:tcBorders>
              <w:top w:val="single" w:color="auto" w:sz="6" w:space="0"/>
              <w:left w:val="single" w:color="auto" w:sz="6" w:space="0"/>
              <w:bottom w:val="single" w:color="auto" w:sz="6" w:space="0"/>
              <w:right w:val="single" w:color="auto" w:sz="6" w:space="0"/>
            </w:tcBorders>
            <w:noWrap/>
            <w:vAlign w:val="center"/>
          </w:tcPr>
          <w:p w14:paraId="5891939B">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0～5</w:t>
            </w:r>
          </w:p>
        </w:tc>
        <w:tc>
          <w:tcPr>
            <w:tcW w:w="851" w:type="dxa"/>
            <w:tcBorders>
              <w:top w:val="single" w:color="auto" w:sz="6" w:space="0"/>
              <w:left w:val="single" w:color="auto" w:sz="6" w:space="0"/>
              <w:bottom w:val="single" w:color="auto" w:sz="6" w:space="0"/>
              <w:right w:val="single" w:color="auto" w:sz="6" w:space="0"/>
            </w:tcBorders>
            <w:noWrap/>
            <w:vAlign w:val="center"/>
          </w:tcPr>
          <w:p w14:paraId="408D598E">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663" w:type="dxa"/>
            <w:tcBorders>
              <w:top w:val="single" w:color="auto" w:sz="6" w:space="0"/>
              <w:left w:val="single" w:color="auto" w:sz="6" w:space="0"/>
              <w:bottom w:val="single" w:color="auto" w:sz="6" w:space="0"/>
              <w:right w:val="single" w:color="auto" w:sz="12" w:space="0"/>
            </w:tcBorders>
            <w:noWrap/>
            <w:vAlign w:val="center"/>
          </w:tcPr>
          <w:p w14:paraId="720C5B4F">
            <w:pPr>
              <w:keepNext w:val="0"/>
              <w:keepLines w:val="0"/>
              <w:pageBreakBefore w:val="0"/>
              <w:widowControl/>
              <w:kinsoku/>
              <w:wordWrap/>
              <w:overflowPunct/>
              <w:topLinePunct w:val="0"/>
              <w:autoSpaceDE/>
              <w:autoSpaceDN/>
              <w:bidi w:val="0"/>
              <w:snapToGrid/>
              <w:spacing w:line="288" w:lineRule="auto"/>
              <w:jc w:val="center"/>
              <w:textAlignment w:val="auto"/>
            </w:pPr>
          </w:p>
        </w:tc>
      </w:tr>
      <w:tr w14:paraId="23696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31" w:type="dxa"/>
            <w:tcBorders>
              <w:top w:val="single" w:color="auto" w:sz="6" w:space="0"/>
              <w:left w:val="single" w:color="auto" w:sz="12" w:space="0"/>
              <w:bottom w:val="single" w:color="auto" w:sz="6" w:space="0"/>
              <w:right w:val="single" w:color="auto" w:sz="6" w:space="0"/>
            </w:tcBorders>
            <w:noWrap/>
            <w:vAlign w:val="center"/>
          </w:tcPr>
          <w:p w14:paraId="69ED7960">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S8</w:t>
            </w:r>
          </w:p>
        </w:tc>
        <w:tc>
          <w:tcPr>
            <w:tcW w:w="851" w:type="dxa"/>
            <w:tcBorders>
              <w:top w:val="single" w:color="auto" w:sz="6" w:space="0"/>
              <w:left w:val="single" w:color="auto" w:sz="6" w:space="0"/>
              <w:bottom w:val="single" w:color="auto" w:sz="6" w:space="0"/>
              <w:right w:val="single" w:color="auto" w:sz="6" w:space="0"/>
            </w:tcBorders>
            <w:noWrap/>
            <w:vAlign w:val="center"/>
          </w:tcPr>
          <w:p w14:paraId="7EFAA0BF">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15～25</w:t>
            </w:r>
          </w:p>
        </w:tc>
        <w:tc>
          <w:tcPr>
            <w:tcW w:w="567" w:type="dxa"/>
            <w:tcBorders>
              <w:top w:val="single" w:color="auto" w:sz="6" w:space="0"/>
              <w:left w:val="single" w:color="auto" w:sz="6" w:space="0"/>
              <w:bottom w:val="single" w:color="auto" w:sz="6" w:space="0"/>
              <w:right w:val="single" w:color="auto" w:sz="6" w:space="0"/>
            </w:tcBorders>
            <w:noWrap/>
            <w:vAlign w:val="center"/>
          </w:tcPr>
          <w:p w14:paraId="75A1CA27">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1021" w:type="dxa"/>
            <w:tcBorders>
              <w:top w:val="single" w:color="auto" w:sz="6" w:space="0"/>
              <w:left w:val="single" w:color="auto" w:sz="6" w:space="0"/>
              <w:bottom w:val="single" w:color="auto" w:sz="6" w:space="0"/>
              <w:right w:val="single" w:color="auto" w:sz="6" w:space="0"/>
            </w:tcBorders>
            <w:noWrap/>
            <w:vAlign w:val="center"/>
          </w:tcPr>
          <w:p w14:paraId="23D3F92D">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3" w:type="dxa"/>
            <w:tcBorders>
              <w:top w:val="single" w:color="auto" w:sz="6" w:space="0"/>
              <w:left w:val="single" w:color="auto" w:sz="6" w:space="0"/>
              <w:bottom w:val="single" w:color="auto" w:sz="6" w:space="0"/>
              <w:right w:val="single" w:color="auto" w:sz="6" w:space="0"/>
            </w:tcBorders>
            <w:noWrap/>
            <w:vAlign w:val="center"/>
          </w:tcPr>
          <w:p w14:paraId="311D8FBD">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6" w:space="0"/>
              <w:right w:val="single" w:color="auto" w:sz="6" w:space="0"/>
            </w:tcBorders>
            <w:noWrap/>
            <w:vAlign w:val="center"/>
          </w:tcPr>
          <w:p w14:paraId="31346578">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6" w:space="0"/>
              <w:right w:val="single" w:color="auto" w:sz="6" w:space="0"/>
            </w:tcBorders>
            <w:noWrap/>
            <w:vAlign w:val="center"/>
          </w:tcPr>
          <w:p w14:paraId="2846BFBD">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63" w:type="dxa"/>
            <w:tcBorders>
              <w:top w:val="single" w:color="auto" w:sz="6" w:space="0"/>
              <w:left w:val="single" w:color="auto" w:sz="6" w:space="0"/>
              <w:bottom w:val="single" w:color="auto" w:sz="6" w:space="0"/>
              <w:right w:val="single" w:color="auto" w:sz="6" w:space="0"/>
            </w:tcBorders>
            <w:noWrap/>
            <w:vAlign w:val="center"/>
          </w:tcPr>
          <w:p w14:paraId="49FDFEF9">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100</w:t>
            </w:r>
          </w:p>
        </w:tc>
        <w:tc>
          <w:tcPr>
            <w:tcW w:w="993" w:type="dxa"/>
            <w:tcBorders>
              <w:top w:val="single" w:color="auto" w:sz="6" w:space="0"/>
              <w:left w:val="single" w:color="auto" w:sz="6" w:space="0"/>
              <w:bottom w:val="single" w:color="auto" w:sz="6" w:space="0"/>
              <w:right w:val="single" w:color="auto" w:sz="6" w:space="0"/>
            </w:tcBorders>
            <w:noWrap/>
            <w:vAlign w:val="center"/>
          </w:tcPr>
          <w:p w14:paraId="025DE525">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90～100</w:t>
            </w:r>
          </w:p>
        </w:tc>
        <w:tc>
          <w:tcPr>
            <w:tcW w:w="1025" w:type="dxa"/>
            <w:tcBorders>
              <w:top w:val="single" w:color="auto" w:sz="6" w:space="0"/>
              <w:left w:val="single" w:color="auto" w:sz="6" w:space="0"/>
              <w:bottom w:val="single" w:color="auto" w:sz="6" w:space="0"/>
              <w:right w:val="single" w:color="auto" w:sz="6" w:space="0"/>
            </w:tcBorders>
            <w:noWrap/>
            <w:vAlign w:val="center"/>
          </w:tcPr>
          <w:p w14:paraId="2C0954DD">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6" w:space="0"/>
              <w:right w:val="single" w:color="auto" w:sz="6" w:space="0"/>
            </w:tcBorders>
            <w:noWrap/>
            <w:vAlign w:val="center"/>
          </w:tcPr>
          <w:p w14:paraId="0FE5C066">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0～15</w:t>
            </w:r>
          </w:p>
        </w:tc>
        <w:tc>
          <w:tcPr>
            <w:tcW w:w="992" w:type="dxa"/>
            <w:tcBorders>
              <w:top w:val="single" w:color="auto" w:sz="6" w:space="0"/>
              <w:left w:val="single" w:color="auto" w:sz="6" w:space="0"/>
              <w:bottom w:val="single" w:color="auto" w:sz="6" w:space="0"/>
              <w:right w:val="single" w:color="auto" w:sz="6" w:space="0"/>
            </w:tcBorders>
            <w:noWrap/>
            <w:vAlign w:val="center"/>
          </w:tcPr>
          <w:p w14:paraId="3EAFF42A">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6" w:space="0"/>
              <w:right w:val="single" w:color="auto" w:sz="6" w:space="0"/>
            </w:tcBorders>
            <w:noWrap/>
            <w:vAlign w:val="center"/>
          </w:tcPr>
          <w:p w14:paraId="25BF1431">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0～5</w:t>
            </w:r>
          </w:p>
        </w:tc>
        <w:tc>
          <w:tcPr>
            <w:tcW w:w="851" w:type="dxa"/>
            <w:tcBorders>
              <w:top w:val="single" w:color="auto" w:sz="6" w:space="0"/>
              <w:left w:val="single" w:color="auto" w:sz="6" w:space="0"/>
              <w:bottom w:val="single" w:color="auto" w:sz="6" w:space="0"/>
              <w:right w:val="single" w:color="auto" w:sz="6" w:space="0"/>
            </w:tcBorders>
            <w:noWrap/>
            <w:vAlign w:val="center"/>
          </w:tcPr>
          <w:p w14:paraId="4772ECE5">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663" w:type="dxa"/>
            <w:tcBorders>
              <w:top w:val="single" w:color="auto" w:sz="6" w:space="0"/>
              <w:left w:val="single" w:color="auto" w:sz="6" w:space="0"/>
              <w:bottom w:val="single" w:color="auto" w:sz="6" w:space="0"/>
              <w:right w:val="single" w:color="auto" w:sz="12" w:space="0"/>
            </w:tcBorders>
            <w:noWrap/>
            <w:vAlign w:val="center"/>
          </w:tcPr>
          <w:p w14:paraId="6B360BC8">
            <w:pPr>
              <w:keepNext w:val="0"/>
              <w:keepLines w:val="0"/>
              <w:pageBreakBefore w:val="0"/>
              <w:widowControl/>
              <w:kinsoku/>
              <w:wordWrap/>
              <w:overflowPunct/>
              <w:topLinePunct w:val="0"/>
              <w:autoSpaceDE/>
              <w:autoSpaceDN/>
              <w:bidi w:val="0"/>
              <w:snapToGrid/>
              <w:spacing w:line="288" w:lineRule="auto"/>
              <w:jc w:val="center"/>
              <w:textAlignment w:val="auto"/>
            </w:pPr>
          </w:p>
        </w:tc>
      </w:tr>
      <w:tr w14:paraId="0BE1F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31" w:type="dxa"/>
            <w:tcBorders>
              <w:top w:val="single" w:color="auto" w:sz="6" w:space="0"/>
              <w:left w:val="single" w:color="auto" w:sz="12" w:space="0"/>
              <w:bottom w:val="single" w:color="auto" w:sz="6" w:space="0"/>
              <w:right w:val="single" w:color="auto" w:sz="6" w:space="0"/>
            </w:tcBorders>
            <w:noWrap/>
            <w:vAlign w:val="center"/>
          </w:tcPr>
          <w:p w14:paraId="5921BFF4">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S9</w:t>
            </w:r>
          </w:p>
        </w:tc>
        <w:tc>
          <w:tcPr>
            <w:tcW w:w="851" w:type="dxa"/>
            <w:tcBorders>
              <w:top w:val="single" w:color="auto" w:sz="6" w:space="0"/>
              <w:left w:val="single" w:color="auto" w:sz="6" w:space="0"/>
              <w:bottom w:val="single" w:color="auto" w:sz="6" w:space="0"/>
              <w:right w:val="single" w:color="auto" w:sz="6" w:space="0"/>
            </w:tcBorders>
            <w:noWrap/>
            <w:vAlign w:val="center"/>
          </w:tcPr>
          <w:p w14:paraId="54733B33">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10～20</w:t>
            </w:r>
          </w:p>
        </w:tc>
        <w:tc>
          <w:tcPr>
            <w:tcW w:w="567" w:type="dxa"/>
            <w:tcBorders>
              <w:top w:val="single" w:color="auto" w:sz="6" w:space="0"/>
              <w:left w:val="single" w:color="auto" w:sz="6" w:space="0"/>
              <w:bottom w:val="single" w:color="auto" w:sz="6" w:space="0"/>
              <w:right w:val="single" w:color="auto" w:sz="6" w:space="0"/>
            </w:tcBorders>
            <w:noWrap/>
            <w:vAlign w:val="center"/>
          </w:tcPr>
          <w:p w14:paraId="49B4134E">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1021" w:type="dxa"/>
            <w:tcBorders>
              <w:top w:val="single" w:color="auto" w:sz="6" w:space="0"/>
              <w:left w:val="single" w:color="auto" w:sz="6" w:space="0"/>
              <w:bottom w:val="single" w:color="auto" w:sz="6" w:space="0"/>
              <w:right w:val="single" w:color="auto" w:sz="6" w:space="0"/>
            </w:tcBorders>
            <w:noWrap/>
            <w:vAlign w:val="center"/>
          </w:tcPr>
          <w:p w14:paraId="57A4D097">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3" w:type="dxa"/>
            <w:tcBorders>
              <w:top w:val="single" w:color="auto" w:sz="6" w:space="0"/>
              <w:left w:val="single" w:color="auto" w:sz="6" w:space="0"/>
              <w:bottom w:val="single" w:color="auto" w:sz="6" w:space="0"/>
              <w:right w:val="single" w:color="auto" w:sz="6" w:space="0"/>
            </w:tcBorders>
            <w:noWrap/>
            <w:vAlign w:val="center"/>
          </w:tcPr>
          <w:p w14:paraId="27308172">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6" w:space="0"/>
              <w:right w:val="single" w:color="auto" w:sz="6" w:space="0"/>
            </w:tcBorders>
            <w:noWrap/>
            <w:vAlign w:val="center"/>
          </w:tcPr>
          <w:p w14:paraId="1D1358C3">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6" w:space="0"/>
              <w:right w:val="single" w:color="auto" w:sz="6" w:space="0"/>
            </w:tcBorders>
            <w:noWrap/>
            <w:vAlign w:val="center"/>
          </w:tcPr>
          <w:p w14:paraId="3295EE0F">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63" w:type="dxa"/>
            <w:tcBorders>
              <w:top w:val="single" w:color="auto" w:sz="6" w:space="0"/>
              <w:left w:val="single" w:color="auto" w:sz="6" w:space="0"/>
              <w:bottom w:val="single" w:color="auto" w:sz="6" w:space="0"/>
              <w:right w:val="single" w:color="auto" w:sz="6" w:space="0"/>
            </w:tcBorders>
            <w:noWrap/>
            <w:vAlign w:val="center"/>
          </w:tcPr>
          <w:p w14:paraId="13C96274">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3" w:type="dxa"/>
            <w:tcBorders>
              <w:top w:val="single" w:color="auto" w:sz="6" w:space="0"/>
              <w:left w:val="single" w:color="auto" w:sz="6" w:space="0"/>
              <w:bottom w:val="single" w:color="auto" w:sz="6" w:space="0"/>
              <w:right w:val="single" w:color="auto" w:sz="6" w:space="0"/>
            </w:tcBorders>
            <w:noWrap/>
            <w:vAlign w:val="center"/>
          </w:tcPr>
          <w:p w14:paraId="5AECA4C2">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100</w:t>
            </w:r>
          </w:p>
        </w:tc>
        <w:tc>
          <w:tcPr>
            <w:tcW w:w="1025" w:type="dxa"/>
            <w:tcBorders>
              <w:top w:val="single" w:color="auto" w:sz="6" w:space="0"/>
              <w:left w:val="single" w:color="auto" w:sz="6" w:space="0"/>
              <w:bottom w:val="single" w:color="auto" w:sz="6" w:space="0"/>
              <w:right w:val="single" w:color="auto" w:sz="6" w:space="0"/>
            </w:tcBorders>
            <w:noWrap/>
            <w:vAlign w:val="center"/>
          </w:tcPr>
          <w:p w14:paraId="65BE1911">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90～100</w:t>
            </w:r>
          </w:p>
        </w:tc>
        <w:tc>
          <w:tcPr>
            <w:tcW w:w="992" w:type="dxa"/>
            <w:tcBorders>
              <w:top w:val="single" w:color="auto" w:sz="6" w:space="0"/>
              <w:left w:val="single" w:color="auto" w:sz="6" w:space="0"/>
              <w:bottom w:val="single" w:color="auto" w:sz="6" w:space="0"/>
              <w:right w:val="single" w:color="auto" w:sz="6" w:space="0"/>
            </w:tcBorders>
            <w:noWrap/>
            <w:vAlign w:val="center"/>
          </w:tcPr>
          <w:p w14:paraId="1B6B4D41">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6" w:space="0"/>
              <w:right w:val="single" w:color="auto" w:sz="6" w:space="0"/>
            </w:tcBorders>
            <w:noWrap/>
            <w:vAlign w:val="center"/>
          </w:tcPr>
          <w:p w14:paraId="37A418C7">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0～15</w:t>
            </w:r>
          </w:p>
        </w:tc>
        <w:tc>
          <w:tcPr>
            <w:tcW w:w="992" w:type="dxa"/>
            <w:tcBorders>
              <w:top w:val="single" w:color="auto" w:sz="6" w:space="0"/>
              <w:left w:val="single" w:color="auto" w:sz="6" w:space="0"/>
              <w:bottom w:val="single" w:color="auto" w:sz="6" w:space="0"/>
              <w:right w:val="single" w:color="auto" w:sz="6" w:space="0"/>
            </w:tcBorders>
            <w:noWrap/>
            <w:vAlign w:val="center"/>
          </w:tcPr>
          <w:p w14:paraId="38765A89">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0～5</w:t>
            </w:r>
          </w:p>
        </w:tc>
        <w:tc>
          <w:tcPr>
            <w:tcW w:w="851" w:type="dxa"/>
            <w:tcBorders>
              <w:top w:val="single" w:color="auto" w:sz="6" w:space="0"/>
              <w:left w:val="single" w:color="auto" w:sz="6" w:space="0"/>
              <w:bottom w:val="single" w:color="auto" w:sz="6" w:space="0"/>
              <w:right w:val="single" w:color="auto" w:sz="6" w:space="0"/>
            </w:tcBorders>
            <w:noWrap/>
            <w:vAlign w:val="center"/>
          </w:tcPr>
          <w:p w14:paraId="21588629">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663" w:type="dxa"/>
            <w:tcBorders>
              <w:top w:val="single" w:color="auto" w:sz="6" w:space="0"/>
              <w:left w:val="single" w:color="auto" w:sz="6" w:space="0"/>
              <w:bottom w:val="single" w:color="auto" w:sz="6" w:space="0"/>
              <w:right w:val="single" w:color="auto" w:sz="12" w:space="0"/>
            </w:tcBorders>
            <w:noWrap/>
            <w:vAlign w:val="center"/>
          </w:tcPr>
          <w:p w14:paraId="38379D27">
            <w:pPr>
              <w:keepNext w:val="0"/>
              <w:keepLines w:val="0"/>
              <w:pageBreakBefore w:val="0"/>
              <w:widowControl/>
              <w:kinsoku/>
              <w:wordWrap/>
              <w:overflowPunct/>
              <w:topLinePunct w:val="0"/>
              <w:autoSpaceDE/>
              <w:autoSpaceDN/>
              <w:bidi w:val="0"/>
              <w:snapToGrid/>
              <w:spacing w:line="288" w:lineRule="auto"/>
              <w:jc w:val="center"/>
              <w:textAlignment w:val="auto"/>
            </w:pPr>
          </w:p>
        </w:tc>
      </w:tr>
      <w:tr w14:paraId="57882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31" w:type="dxa"/>
            <w:tcBorders>
              <w:top w:val="single" w:color="auto" w:sz="6" w:space="0"/>
              <w:left w:val="single" w:color="auto" w:sz="12" w:space="0"/>
              <w:bottom w:val="single" w:color="auto" w:sz="6" w:space="0"/>
              <w:right w:val="single" w:color="auto" w:sz="6" w:space="0"/>
            </w:tcBorders>
            <w:noWrap/>
            <w:vAlign w:val="center"/>
          </w:tcPr>
          <w:p w14:paraId="46C0F87F">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S10</w:t>
            </w:r>
          </w:p>
        </w:tc>
        <w:tc>
          <w:tcPr>
            <w:tcW w:w="851" w:type="dxa"/>
            <w:tcBorders>
              <w:top w:val="single" w:color="auto" w:sz="6" w:space="0"/>
              <w:left w:val="single" w:color="auto" w:sz="6" w:space="0"/>
              <w:bottom w:val="single" w:color="auto" w:sz="6" w:space="0"/>
              <w:right w:val="single" w:color="auto" w:sz="6" w:space="0"/>
            </w:tcBorders>
            <w:noWrap/>
            <w:vAlign w:val="center"/>
          </w:tcPr>
          <w:p w14:paraId="3E2B46FB">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10～15</w:t>
            </w:r>
          </w:p>
        </w:tc>
        <w:tc>
          <w:tcPr>
            <w:tcW w:w="567" w:type="dxa"/>
            <w:tcBorders>
              <w:top w:val="single" w:color="auto" w:sz="6" w:space="0"/>
              <w:left w:val="single" w:color="auto" w:sz="6" w:space="0"/>
              <w:bottom w:val="single" w:color="auto" w:sz="6" w:space="0"/>
              <w:right w:val="single" w:color="auto" w:sz="6" w:space="0"/>
            </w:tcBorders>
            <w:noWrap/>
            <w:vAlign w:val="center"/>
          </w:tcPr>
          <w:p w14:paraId="17CB14C1">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1021" w:type="dxa"/>
            <w:tcBorders>
              <w:top w:val="single" w:color="auto" w:sz="6" w:space="0"/>
              <w:left w:val="single" w:color="auto" w:sz="6" w:space="0"/>
              <w:bottom w:val="single" w:color="auto" w:sz="6" w:space="0"/>
              <w:right w:val="single" w:color="auto" w:sz="6" w:space="0"/>
            </w:tcBorders>
            <w:noWrap/>
            <w:vAlign w:val="center"/>
          </w:tcPr>
          <w:p w14:paraId="1A008D80">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3" w:type="dxa"/>
            <w:tcBorders>
              <w:top w:val="single" w:color="auto" w:sz="6" w:space="0"/>
              <w:left w:val="single" w:color="auto" w:sz="6" w:space="0"/>
              <w:bottom w:val="single" w:color="auto" w:sz="6" w:space="0"/>
              <w:right w:val="single" w:color="auto" w:sz="6" w:space="0"/>
            </w:tcBorders>
            <w:noWrap/>
            <w:vAlign w:val="center"/>
          </w:tcPr>
          <w:p w14:paraId="345E7C16">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6" w:space="0"/>
              <w:right w:val="single" w:color="auto" w:sz="6" w:space="0"/>
            </w:tcBorders>
            <w:noWrap/>
            <w:vAlign w:val="center"/>
          </w:tcPr>
          <w:p w14:paraId="3D121A56">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6" w:space="0"/>
              <w:right w:val="single" w:color="auto" w:sz="6" w:space="0"/>
            </w:tcBorders>
            <w:noWrap/>
            <w:vAlign w:val="center"/>
          </w:tcPr>
          <w:p w14:paraId="44D36412">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63" w:type="dxa"/>
            <w:tcBorders>
              <w:top w:val="single" w:color="auto" w:sz="6" w:space="0"/>
              <w:left w:val="single" w:color="auto" w:sz="6" w:space="0"/>
              <w:bottom w:val="single" w:color="auto" w:sz="6" w:space="0"/>
              <w:right w:val="single" w:color="auto" w:sz="6" w:space="0"/>
            </w:tcBorders>
            <w:noWrap/>
            <w:vAlign w:val="center"/>
          </w:tcPr>
          <w:p w14:paraId="19446BB6">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3" w:type="dxa"/>
            <w:tcBorders>
              <w:top w:val="single" w:color="auto" w:sz="6" w:space="0"/>
              <w:left w:val="single" w:color="auto" w:sz="6" w:space="0"/>
              <w:bottom w:val="single" w:color="auto" w:sz="6" w:space="0"/>
              <w:right w:val="single" w:color="auto" w:sz="6" w:space="0"/>
            </w:tcBorders>
            <w:noWrap/>
            <w:vAlign w:val="center"/>
          </w:tcPr>
          <w:p w14:paraId="2A5CAAD4">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1025" w:type="dxa"/>
            <w:tcBorders>
              <w:top w:val="single" w:color="auto" w:sz="6" w:space="0"/>
              <w:left w:val="single" w:color="auto" w:sz="6" w:space="0"/>
              <w:bottom w:val="single" w:color="auto" w:sz="6" w:space="0"/>
              <w:right w:val="single" w:color="auto" w:sz="6" w:space="0"/>
            </w:tcBorders>
            <w:noWrap/>
            <w:vAlign w:val="center"/>
          </w:tcPr>
          <w:p w14:paraId="71DC781B">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100</w:t>
            </w:r>
          </w:p>
        </w:tc>
        <w:tc>
          <w:tcPr>
            <w:tcW w:w="992" w:type="dxa"/>
            <w:tcBorders>
              <w:top w:val="single" w:color="auto" w:sz="6" w:space="0"/>
              <w:left w:val="single" w:color="auto" w:sz="6" w:space="0"/>
              <w:bottom w:val="single" w:color="auto" w:sz="6" w:space="0"/>
              <w:right w:val="single" w:color="auto" w:sz="6" w:space="0"/>
            </w:tcBorders>
            <w:noWrap/>
            <w:vAlign w:val="center"/>
          </w:tcPr>
          <w:p w14:paraId="4FBEE75C">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90～100</w:t>
            </w:r>
          </w:p>
        </w:tc>
        <w:tc>
          <w:tcPr>
            <w:tcW w:w="992" w:type="dxa"/>
            <w:tcBorders>
              <w:top w:val="single" w:color="auto" w:sz="6" w:space="0"/>
              <w:left w:val="single" w:color="auto" w:sz="6" w:space="0"/>
              <w:bottom w:val="single" w:color="auto" w:sz="6" w:space="0"/>
              <w:right w:val="single" w:color="auto" w:sz="6" w:space="0"/>
            </w:tcBorders>
            <w:noWrap/>
            <w:vAlign w:val="center"/>
          </w:tcPr>
          <w:p w14:paraId="3E25045D">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0～15</w:t>
            </w:r>
          </w:p>
        </w:tc>
        <w:tc>
          <w:tcPr>
            <w:tcW w:w="992" w:type="dxa"/>
            <w:tcBorders>
              <w:top w:val="single" w:color="auto" w:sz="6" w:space="0"/>
              <w:left w:val="single" w:color="auto" w:sz="6" w:space="0"/>
              <w:bottom w:val="single" w:color="auto" w:sz="6" w:space="0"/>
              <w:right w:val="single" w:color="auto" w:sz="6" w:space="0"/>
            </w:tcBorders>
            <w:noWrap/>
            <w:vAlign w:val="center"/>
          </w:tcPr>
          <w:p w14:paraId="62244638">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0～5</w:t>
            </w:r>
          </w:p>
        </w:tc>
        <w:tc>
          <w:tcPr>
            <w:tcW w:w="851" w:type="dxa"/>
            <w:tcBorders>
              <w:top w:val="single" w:color="auto" w:sz="6" w:space="0"/>
              <w:left w:val="single" w:color="auto" w:sz="6" w:space="0"/>
              <w:bottom w:val="single" w:color="auto" w:sz="6" w:space="0"/>
              <w:right w:val="single" w:color="auto" w:sz="6" w:space="0"/>
            </w:tcBorders>
            <w:noWrap/>
            <w:vAlign w:val="center"/>
          </w:tcPr>
          <w:p w14:paraId="656A948C">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663" w:type="dxa"/>
            <w:tcBorders>
              <w:top w:val="single" w:color="auto" w:sz="6" w:space="0"/>
              <w:left w:val="single" w:color="auto" w:sz="6" w:space="0"/>
              <w:bottom w:val="single" w:color="auto" w:sz="6" w:space="0"/>
              <w:right w:val="single" w:color="auto" w:sz="12" w:space="0"/>
            </w:tcBorders>
            <w:noWrap/>
            <w:vAlign w:val="center"/>
          </w:tcPr>
          <w:p w14:paraId="2C013FA0">
            <w:pPr>
              <w:keepNext w:val="0"/>
              <w:keepLines w:val="0"/>
              <w:pageBreakBefore w:val="0"/>
              <w:widowControl/>
              <w:kinsoku/>
              <w:wordWrap/>
              <w:overflowPunct/>
              <w:topLinePunct w:val="0"/>
              <w:autoSpaceDE/>
              <w:autoSpaceDN/>
              <w:bidi w:val="0"/>
              <w:snapToGrid/>
              <w:spacing w:line="288" w:lineRule="auto"/>
              <w:jc w:val="center"/>
              <w:textAlignment w:val="auto"/>
            </w:pPr>
          </w:p>
        </w:tc>
      </w:tr>
      <w:tr w14:paraId="4DD50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31" w:type="dxa"/>
            <w:tcBorders>
              <w:top w:val="single" w:color="auto" w:sz="6" w:space="0"/>
              <w:left w:val="single" w:color="auto" w:sz="12" w:space="0"/>
              <w:bottom w:val="single" w:color="auto" w:sz="6" w:space="0"/>
              <w:right w:val="single" w:color="auto" w:sz="6" w:space="0"/>
            </w:tcBorders>
            <w:noWrap/>
            <w:vAlign w:val="center"/>
          </w:tcPr>
          <w:p w14:paraId="13EE2AEB">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S11</w:t>
            </w:r>
          </w:p>
        </w:tc>
        <w:tc>
          <w:tcPr>
            <w:tcW w:w="851" w:type="dxa"/>
            <w:tcBorders>
              <w:top w:val="single" w:color="auto" w:sz="6" w:space="0"/>
              <w:left w:val="single" w:color="auto" w:sz="6" w:space="0"/>
              <w:bottom w:val="single" w:color="auto" w:sz="6" w:space="0"/>
              <w:right w:val="single" w:color="auto" w:sz="6" w:space="0"/>
            </w:tcBorders>
            <w:noWrap/>
            <w:vAlign w:val="center"/>
          </w:tcPr>
          <w:p w14:paraId="3ADFDD5C">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5～15</w:t>
            </w:r>
          </w:p>
        </w:tc>
        <w:tc>
          <w:tcPr>
            <w:tcW w:w="567" w:type="dxa"/>
            <w:tcBorders>
              <w:top w:val="single" w:color="auto" w:sz="6" w:space="0"/>
              <w:left w:val="single" w:color="auto" w:sz="6" w:space="0"/>
              <w:bottom w:val="single" w:color="auto" w:sz="6" w:space="0"/>
              <w:right w:val="single" w:color="auto" w:sz="6" w:space="0"/>
            </w:tcBorders>
            <w:noWrap/>
            <w:vAlign w:val="center"/>
          </w:tcPr>
          <w:p w14:paraId="1772FF27">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1021" w:type="dxa"/>
            <w:tcBorders>
              <w:top w:val="single" w:color="auto" w:sz="6" w:space="0"/>
              <w:left w:val="single" w:color="auto" w:sz="6" w:space="0"/>
              <w:bottom w:val="single" w:color="auto" w:sz="6" w:space="0"/>
              <w:right w:val="single" w:color="auto" w:sz="6" w:space="0"/>
            </w:tcBorders>
            <w:noWrap/>
            <w:vAlign w:val="center"/>
          </w:tcPr>
          <w:p w14:paraId="101FA54C">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3" w:type="dxa"/>
            <w:tcBorders>
              <w:top w:val="single" w:color="auto" w:sz="6" w:space="0"/>
              <w:left w:val="single" w:color="auto" w:sz="6" w:space="0"/>
              <w:bottom w:val="single" w:color="auto" w:sz="6" w:space="0"/>
              <w:right w:val="single" w:color="auto" w:sz="6" w:space="0"/>
            </w:tcBorders>
            <w:noWrap/>
            <w:vAlign w:val="center"/>
          </w:tcPr>
          <w:p w14:paraId="43E22850">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6" w:space="0"/>
              <w:right w:val="single" w:color="auto" w:sz="6" w:space="0"/>
            </w:tcBorders>
            <w:noWrap/>
            <w:vAlign w:val="center"/>
          </w:tcPr>
          <w:p w14:paraId="7D0BAAED">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6" w:space="0"/>
              <w:right w:val="single" w:color="auto" w:sz="6" w:space="0"/>
            </w:tcBorders>
            <w:noWrap/>
            <w:vAlign w:val="center"/>
          </w:tcPr>
          <w:p w14:paraId="458496BD">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63" w:type="dxa"/>
            <w:tcBorders>
              <w:top w:val="single" w:color="auto" w:sz="6" w:space="0"/>
              <w:left w:val="single" w:color="auto" w:sz="6" w:space="0"/>
              <w:bottom w:val="single" w:color="auto" w:sz="6" w:space="0"/>
              <w:right w:val="single" w:color="auto" w:sz="6" w:space="0"/>
            </w:tcBorders>
            <w:noWrap/>
            <w:vAlign w:val="center"/>
          </w:tcPr>
          <w:p w14:paraId="5B27BC73">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3" w:type="dxa"/>
            <w:tcBorders>
              <w:top w:val="single" w:color="auto" w:sz="6" w:space="0"/>
              <w:left w:val="single" w:color="auto" w:sz="6" w:space="0"/>
              <w:bottom w:val="single" w:color="auto" w:sz="6" w:space="0"/>
              <w:right w:val="single" w:color="auto" w:sz="6" w:space="0"/>
            </w:tcBorders>
            <w:noWrap/>
            <w:vAlign w:val="center"/>
          </w:tcPr>
          <w:p w14:paraId="5A8E2D66">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1025" w:type="dxa"/>
            <w:tcBorders>
              <w:top w:val="single" w:color="auto" w:sz="6" w:space="0"/>
              <w:left w:val="single" w:color="auto" w:sz="6" w:space="0"/>
              <w:bottom w:val="single" w:color="auto" w:sz="6" w:space="0"/>
              <w:right w:val="single" w:color="auto" w:sz="6" w:space="0"/>
            </w:tcBorders>
            <w:noWrap/>
            <w:vAlign w:val="center"/>
          </w:tcPr>
          <w:p w14:paraId="799523C0">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100</w:t>
            </w:r>
          </w:p>
        </w:tc>
        <w:tc>
          <w:tcPr>
            <w:tcW w:w="992" w:type="dxa"/>
            <w:tcBorders>
              <w:top w:val="single" w:color="auto" w:sz="6" w:space="0"/>
              <w:left w:val="single" w:color="auto" w:sz="6" w:space="0"/>
              <w:bottom w:val="single" w:color="auto" w:sz="6" w:space="0"/>
              <w:right w:val="single" w:color="auto" w:sz="6" w:space="0"/>
            </w:tcBorders>
            <w:noWrap/>
            <w:vAlign w:val="center"/>
          </w:tcPr>
          <w:p w14:paraId="22856CEB">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90～100</w:t>
            </w:r>
          </w:p>
        </w:tc>
        <w:tc>
          <w:tcPr>
            <w:tcW w:w="992" w:type="dxa"/>
            <w:tcBorders>
              <w:top w:val="single" w:color="auto" w:sz="6" w:space="0"/>
              <w:left w:val="single" w:color="auto" w:sz="6" w:space="0"/>
              <w:bottom w:val="single" w:color="auto" w:sz="6" w:space="0"/>
              <w:right w:val="single" w:color="auto" w:sz="6" w:space="0"/>
            </w:tcBorders>
            <w:noWrap/>
            <w:vAlign w:val="center"/>
          </w:tcPr>
          <w:p w14:paraId="7DDA74CC">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40～70</w:t>
            </w:r>
          </w:p>
        </w:tc>
        <w:tc>
          <w:tcPr>
            <w:tcW w:w="992" w:type="dxa"/>
            <w:tcBorders>
              <w:top w:val="single" w:color="auto" w:sz="6" w:space="0"/>
              <w:left w:val="single" w:color="auto" w:sz="6" w:space="0"/>
              <w:bottom w:val="single" w:color="auto" w:sz="6" w:space="0"/>
              <w:right w:val="single" w:color="auto" w:sz="6" w:space="0"/>
            </w:tcBorders>
            <w:noWrap/>
            <w:vAlign w:val="center"/>
          </w:tcPr>
          <w:p w14:paraId="7762CEF1">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0～15</w:t>
            </w:r>
          </w:p>
        </w:tc>
        <w:tc>
          <w:tcPr>
            <w:tcW w:w="851" w:type="dxa"/>
            <w:tcBorders>
              <w:top w:val="single" w:color="auto" w:sz="6" w:space="0"/>
              <w:left w:val="single" w:color="auto" w:sz="6" w:space="0"/>
              <w:bottom w:val="single" w:color="auto" w:sz="6" w:space="0"/>
              <w:right w:val="single" w:color="auto" w:sz="6" w:space="0"/>
            </w:tcBorders>
            <w:noWrap/>
            <w:vAlign w:val="center"/>
          </w:tcPr>
          <w:p w14:paraId="44839848">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0～5</w:t>
            </w:r>
          </w:p>
        </w:tc>
        <w:tc>
          <w:tcPr>
            <w:tcW w:w="663" w:type="dxa"/>
            <w:tcBorders>
              <w:top w:val="single" w:color="auto" w:sz="6" w:space="0"/>
              <w:left w:val="single" w:color="auto" w:sz="6" w:space="0"/>
              <w:bottom w:val="single" w:color="auto" w:sz="6" w:space="0"/>
              <w:right w:val="single" w:color="auto" w:sz="12" w:space="0"/>
            </w:tcBorders>
            <w:noWrap/>
            <w:vAlign w:val="center"/>
          </w:tcPr>
          <w:p w14:paraId="38578D10">
            <w:pPr>
              <w:keepNext w:val="0"/>
              <w:keepLines w:val="0"/>
              <w:pageBreakBefore w:val="0"/>
              <w:widowControl/>
              <w:kinsoku/>
              <w:wordWrap/>
              <w:overflowPunct/>
              <w:topLinePunct w:val="0"/>
              <w:autoSpaceDE/>
              <w:autoSpaceDN/>
              <w:bidi w:val="0"/>
              <w:snapToGrid/>
              <w:spacing w:line="288" w:lineRule="auto"/>
              <w:jc w:val="center"/>
              <w:textAlignment w:val="auto"/>
            </w:pPr>
          </w:p>
        </w:tc>
      </w:tr>
      <w:tr w14:paraId="4E062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31" w:type="dxa"/>
            <w:tcBorders>
              <w:top w:val="single" w:color="auto" w:sz="6" w:space="0"/>
              <w:left w:val="single" w:color="auto" w:sz="12" w:space="0"/>
              <w:bottom w:val="single" w:color="auto" w:sz="6" w:space="0"/>
              <w:right w:val="single" w:color="auto" w:sz="6" w:space="0"/>
            </w:tcBorders>
            <w:noWrap/>
            <w:vAlign w:val="center"/>
          </w:tcPr>
          <w:p w14:paraId="55341D7E">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S12</w:t>
            </w:r>
          </w:p>
        </w:tc>
        <w:tc>
          <w:tcPr>
            <w:tcW w:w="851" w:type="dxa"/>
            <w:tcBorders>
              <w:top w:val="single" w:color="auto" w:sz="6" w:space="0"/>
              <w:left w:val="single" w:color="auto" w:sz="6" w:space="0"/>
              <w:bottom w:val="single" w:color="auto" w:sz="6" w:space="0"/>
              <w:right w:val="single" w:color="auto" w:sz="6" w:space="0"/>
            </w:tcBorders>
            <w:noWrap/>
            <w:vAlign w:val="center"/>
          </w:tcPr>
          <w:p w14:paraId="4B82B472">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5～10</w:t>
            </w:r>
          </w:p>
        </w:tc>
        <w:tc>
          <w:tcPr>
            <w:tcW w:w="567" w:type="dxa"/>
            <w:tcBorders>
              <w:top w:val="single" w:color="auto" w:sz="6" w:space="0"/>
              <w:left w:val="single" w:color="auto" w:sz="6" w:space="0"/>
              <w:bottom w:val="single" w:color="auto" w:sz="6" w:space="0"/>
              <w:right w:val="single" w:color="auto" w:sz="6" w:space="0"/>
            </w:tcBorders>
            <w:noWrap/>
            <w:vAlign w:val="center"/>
          </w:tcPr>
          <w:p w14:paraId="0D511130">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1021" w:type="dxa"/>
            <w:tcBorders>
              <w:top w:val="single" w:color="auto" w:sz="6" w:space="0"/>
              <w:left w:val="single" w:color="auto" w:sz="6" w:space="0"/>
              <w:bottom w:val="single" w:color="auto" w:sz="6" w:space="0"/>
              <w:right w:val="single" w:color="auto" w:sz="6" w:space="0"/>
            </w:tcBorders>
            <w:noWrap/>
            <w:vAlign w:val="center"/>
          </w:tcPr>
          <w:p w14:paraId="01D6DFB1">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3" w:type="dxa"/>
            <w:tcBorders>
              <w:top w:val="single" w:color="auto" w:sz="6" w:space="0"/>
              <w:left w:val="single" w:color="auto" w:sz="6" w:space="0"/>
              <w:bottom w:val="single" w:color="auto" w:sz="6" w:space="0"/>
              <w:right w:val="single" w:color="auto" w:sz="6" w:space="0"/>
            </w:tcBorders>
            <w:noWrap/>
            <w:vAlign w:val="center"/>
          </w:tcPr>
          <w:p w14:paraId="4A18D695">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6" w:space="0"/>
              <w:right w:val="single" w:color="auto" w:sz="6" w:space="0"/>
            </w:tcBorders>
            <w:noWrap/>
            <w:vAlign w:val="center"/>
          </w:tcPr>
          <w:p w14:paraId="1868FC9F">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6" w:space="0"/>
              <w:right w:val="single" w:color="auto" w:sz="6" w:space="0"/>
            </w:tcBorders>
            <w:noWrap/>
            <w:vAlign w:val="center"/>
          </w:tcPr>
          <w:p w14:paraId="6A859ECC">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63" w:type="dxa"/>
            <w:tcBorders>
              <w:top w:val="single" w:color="auto" w:sz="6" w:space="0"/>
              <w:left w:val="single" w:color="auto" w:sz="6" w:space="0"/>
              <w:bottom w:val="single" w:color="auto" w:sz="6" w:space="0"/>
              <w:right w:val="single" w:color="auto" w:sz="6" w:space="0"/>
            </w:tcBorders>
            <w:noWrap/>
            <w:vAlign w:val="center"/>
          </w:tcPr>
          <w:p w14:paraId="2759A4CF">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3" w:type="dxa"/>
            <w:tcBorders>
              <w:top w:val="single" w:color="auto" w:sz="6" w:space="0"/>
              <w:left w:val="single" w:color="auto" w:sz="6" w:space="0"/>
              <w:bottom w:val="single" w:color="auto" w:sz="6" w:space="0"/>
              <w:right w:val="single" w:color="auto" w:sz="6" w:space="0"/>
            </w:tcBorders>
            <w:noWrap/>
            <w:vAlign w:val="center"/>
          </w:tcPr>
          <w:p w14:paraId="5BAA8007">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1025" w:type="dxa"/>
            <w:tcBorders>
              <w:top w:val="single" w:color="auto" w:sz="6" w:space="0"/>
              <w:left w:val="single" w:color="auto" w:sz="6" w:space="0"/>
              <w:bottom w:val="single" w:color="auto" w:sz="6" w:space="0"/>
              <w:right w:val="single" w:color="auto" w:sz="6" w:space="0"/>
            </w:tcBorders>
            <w:noWrap/>
            <w:vAlign w:val="center"/>
          </w:tcPr>
          <w:p w14:paraId="7593DA75">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6" w:space="0"/>
              <w:right w:val="single" w:color="auto" w:sz="6" w:space="0"/>
            </w:tcBorders>
            <w:noWrap/>
            <w:vAlign w:val="center"/>
          </w:tcPr>
          <w:p w14:paraId="588D6A9E">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100</w:t>
            </w:r>
          </w:p>
        </w:tc>
        <w:tc>
          <w:tcPr>
            <w:tcW w:w="992" w:type="dxa"/>
            <w:tcBorders>
              <w:top w:val="single" w:color="auto" w:sz="6" w:space="0"/>
              <w:left w:val="single" w:color="auto" w:sz="6" w:space="0"/>
              <w:bottom w:val="single" w:color="auto" w:sz="6" w:space="0"/>
              <w:right w:val="single" w:color="auto" w:sz="6" w:space="0"/>
            </w:tcBorders>
            <w:noWrap/>
            <w:vAlign w:val="center"/>
          </w:tcPr>
          <w:p w14:paraId="016D3318">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90～100</w:t>
            </w:r>
          </w:p>
        </w:tc>
        <w:tc>
          <w:tcPr>
            <w:tcW w:w="992" w:type="dxa"/>
            <w:tcBorders>
              <w:top w:val="single" w:color="auto" w:sz="6" w:space="0"/>
              <w:left w:val="single" w:color="auto" w:sz="6" w:space="0"/>
              <w:bottom w:val="single" w:color="auto" w:sz="6" w:space="0"/>
              <w:right w:val="single" w:color="auto" w:sz="6" w:space="0"/>
            </w:tcBorders>
            <w:noWrap/>
            <w:vAlign w:val="center"/>
          </w:tcPr>
          <w:p w14:paraId="14069B11">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0～15</w:t>
            </w:r>
          </w:p>
        </w:tc>
        <w:tc>
          <w:tcPr>
            <w:tcW w:w="851" w:type="dxa"/>
            <w:tcBorders>
              <w:top w:val="single" w:color="auto" w:sz="6" w:space="0"/>
              <w:left w:val="single" w:color="auto" w:sz="6" w:space="0"/>
              <w:bottom w:val="single" w:color="auto" w:sz="6" w:space="0"/>
              <w:right w:val="single" w:color="auto" w:sz="6" w:space="0"/>
            </w:tcBorders>
            <w:noWrap/>
            <w:vAlign w:val="center"/>
          </w:tcPr>
          <w:p w14:paraId="760F3EE8">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0～5</w:t>
            </w:r>
          </w:p>
        </w:tc>
        <w:tc>
          <w:tcPr>
            <w:tcW w:w="663" w:type="dxa"/>
            <w:tcBorders>
              <w:top w:val="single" w:color="auto" w:sz="6" w:space="0"/>
              <w:left w:val="single" w:color="auto" w:sz="6" w:space="0"/>
              <w:bottom w:val="single" w:color="auto" w:sz="6" w:space="0"/>
              <w:right w:val="single" w:color="auto" w:sz="12" w:space="0"/>
            </w:tcBorders>
            <w:noWrap/>
            <w:vAlign w:val="center"/>
          </w:tcPr>
          <w:p w14:paraId="06D3EA68">
            <w:pPr>
              <w:keepNext w:val="0"/>
              <w:keepLines w:val="0"/>
              <w:pageBreakBefore w:val="0"/>
              <w:widowControl/>
              <w:kinsoku/>
              <w:wordWrap/>
              <w:overflowPunct/>
              <w:topLinePunct w:val="0"/>
              <w:autoSpaceDE/>
              <w:autoSpaceDN/>
              <w:bidi w:val="0"/>
              <w:snapToGrid/>
              <w:spacing w:line="288" w:lineRule="auto"/>
              <w:jc w:val="center"/>
              <w:textAlignment w:val="auto"/>
            </w:pPr>
          </w:p>
        </w:tc>
      </w:tr>
      <w:tr w14:paraId="642D9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31" w:type="dxa"/>
            <w:tcBorders>
              <w:top w:val="single" w:color="auto" w:sz="6" w:space="0"/>
              <w:left w:val="single" w:color="auto" w:sz="12" w:space="0"/>
              <w:bottom w:val="single" w:color="auto" w:sz="6" w:space="0"/>
              <w:right w:val="single" w:color="auto" w:sz="6" w:space="0"/>
            </w:tcBorders>
            <w:noWrap/>
            <w:vAlign w:val="center"/>
          </w:tcPr>
          <w:p w14:paraId="23124354">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S13</w:t>
            </w:r>
          </w:p>
        </w:tc>
        <w:tc>
          <w:tcPr>
            <w:tcW w:w="851" w:type="dxa"/>
            <w:tcBorders>
              <w:top w:val="single" w:color="auto" w:sz="6" w:space="0"/>
              <w:left w:val="single" w:color="auto" w:sz="6" w:space="0"/>
              <w:bottom w:val="single" w:color="auto" w:sz="6" w:space="0"/>
              <w:right w:val="single" w:color="auto" w:sz="6" w:space="0"/>
            </w:tcBorders>
            <w:noWrap/>
            <w:vAlign w:val="center"/>
          </w:tcPr>
          <w:p w14:paraId="0C9F31E3">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3～10</w:t>
            </w:r>
          </w:p>
        </w:tc>
        <w:tc>
          <w:tcPr>
            <w:tcW w:w="567" w:type="dxa"/>
            <w:tcBorders>
              <w:top w:val="single" w:color="auto" w:sz="6" w:space="0"/>
              <w:left w:val="single" w:color="auto" w:sz="6" w:space="0"/>
              <w:bottom w:val="single" w:color="auto" w:sz="6" w:space="0"/>
              <w:right w:val="single" w:color="auto" w:sz="6" w:space="0"/>
            </w:tcBorders>
            <w:noWrap/>
            <w:vAlign w:val="center"/>
          </w:tcPr>
          <w:p w14:paraId="51EF6263">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1021" w:type="dxa"/>
            <w:tcBorders>
              <w:top w:val="single" w:color="auto" w:sz="6" w:space="0"/>
              <w:left w:val="single" w:color="auto" w:sz="6" w:space="0"/>
              <w:bottom w:val="single" w:color="auto" w:sz="6" w:space="0"/>
              <w:right w:val="single" w:color="auto" w:sz="6" w:space="0"/>
            </w:tcBorders>
            <w:noWrap/>
            <w:vAlign w:val="center"/>
          </w:tcPr>
          <w:p w14:paraId="64CC6D3F">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3" w:type="dxa"/>
            <w:tcBorders>
              <w:top w:val="single" w:color="auto" w:sz="6" w:space="0"/>
              <w:left w:val="single" w:color="auto" w:sz="6" w:space="0"/>
              <w:bottom w:val="single" w:color="auto" w:sz="6" w:space="0"/>
              <w:right w:val="single" w:color="auto" w:sz="6" w:space="0"/>
            </w:tcBorders>
            <w:noWrap/>
            <w:vAlign w:val="center"/>
          </w:tcPr>
          <w:p w14:paraId="6898166C">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6" w:space="0"/>
              <w:right w:val="single" w:color="auto" w:sz="6" w:space="0"/>
            </w:tcBorders>
            <w:noWrap/>
            <w:vAlign w:val="center"/>
          </w:tcPr>
          <w:p w14:paraId="130E7D16">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6" w:space="0"/>
              <w:right w:val="single" w:color="auto" w:sz="6" w:space="0"/>
            </w:tcBorders>
            <w:noWrap/>
            <w:vAlign w:val="center"/>
          </w:tcPr>
          <w:p w14:paraId="0463DDB5">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63" w:type="dxa"/>
            <w:tcBorders>
              <w:top w:val="single" w:color="auto" w:sz="6" w:space="0"/>
              <w:left w:val="single" w:color="auto" w:sz="6" w:space="0"/>
              <w:bottom w:val="single" w:color="auto" w:sz="6" w:space="0"/>
              <w:right w:val="single" w:color="auto" w:sz="6" w:space="0"/>
            </w:tcBorders>
            <w:noWrap/>
            <w:vAlign w:val="center"/>
          </w:tcPr>
          <w:p w14:paraId="2EF3E9A5">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3" w:type="dxa"/>
            <w:tcBorders>
              <w:top w:val="single" w:color="auto" w:sz="6" w:space="0"/>
              <w:left w:val="single" w:color="auto" w:sz="6" w:space="0"/>
              <w:bottom w:val="single" w:color="auto" w:sz="6" w:space="0"/>
              <w:right w:val="single" w:color="auto" w:sz="6" w:space="0"/>
            </w:tcBorders>
            <w:noWrap/>
            <w:vAlign w:val="center"/>
          </w:tcPr>
          <w:p w14:paraId="60EEC61A">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1025" w:type="dxa"/>
            <w:tcBorders>
              <w:top w:val="single" w:color="auto" w:sz="6" w:space="0"/>
              <w:left w:val="single" w:color="auto" w:sz="6" w:space="0"/>
              <w:bottom w:val="single" w:color="auto" w:sz="6" w:space="0"/>
              <w:right w:val="single" w:color="auto" w:sz="6" w:space="0"/>
            </w:tcBorders>
            <w:noWrap/>
            <w:vAlign w:val="center"/>
          </w:tcPr>
          <w:p w14:paraId="63D44C12">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6" w:space="0"/>
              <w:right w:val="single" w:color="auto" w:sz="6" w:space="0"/>
            </w:tcBorders>
            <w:noWrap/>
            <w:vAlign w:val="center"/>
          </w:tcPr>
          <w:p w14:paraId="3D7AE885">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100</w:t>
            </w:r>
          </w:p>
        </w:tc>
        <w:tc>
          <w:tcPr>
            <w:tcW w:w="992" w:type="dxa"/>
            <w:tcBorders>
              <w:top w:val="single" w:color="auto" w:sz="6" w:space="0"/>
              <w:left w:val="single" w:color="auto" w:sz="6" w:space="0"/>
              <w:bottom w:val="single" w:color="auto" w:sz="6" w:space="0"/>
              <w:right w:val="single" w:color="auto" w:sz="6" w:space="0"/>
            </w:tcBorders>
            <w:noWrap/>
            <w:vAlign w:val="center"/>
          </w:tcPr>
          <w:p w14:paraId="111897B0">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90～100</w:t>
            </w:r>
          </w:p>
        </w:tc>
        <w:tc>
          <w:tcPr>
            <w:tcW w:w="992" w:type="dxa"/>
            <w:tcBorders>
              <w:top w:val="single" w:color="auto" w:sz="6" w:space="0"/>
              <w:left w:val="single" w:color="auto" w:sz="6" w:space="0"/>
              <w:bottom w:val="single" w:color="auto" w:sz="6" w:space="0"/>
              <w:right w:val="single" w:color="auto" w:sz="6" w:space="0"/>
            </w:tcBorders>
            <w:noWrap/>
            <w:vAlign w:val="center"/>
          </w:tcPr>
          <w:p w14:paraId="3C15A5B2">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40～70</w:t>
            </w:r>
          </w:p>
        </w:tc>
        <w:tc>
          <w:tcPr>
            <w:tcW w:w="851" w:type="dxa"/>
            <w:tcBorders>
              <w:top w:val="single" w:color="auto" w:sz="6" w:space="0"/>
              <w:left w:val="single" w:color="auto" w:sz="6" w:space="0"/>
              <w:bottom w:val="single" w:color="auto" w:sz="6" w:space="0"/>
              <w:right w:val="single" w:color="auto" w:sz="6" w:space="0"/>
            </w:tcBorders>
            <w:noWrap/>
            <w:vAlign w:val="center"/>
          </w:tcPr>
          <w:p w14:paraId="38A49712">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0～20</w:t>
            </w:r>
          </w:p>
        </w:tc>
        <w:tc>
          <w:tcPr>
            <w:tcW w:w="663" w:type="dxa"/>
            <w:tcBorders>
              <w:top w:val="single" w:color="auto" w:sz="6" w:space="0"/>
              <w:left w:val="single" w:color="auto" w:sz="6" w:space="0"/>
              <w:bottom w:val="single" w:color="auto" w:sz="6" w:space="0"/>
              <w:right w:val="single" w:color="auto" w:sz="12" w:space="0"/>
            </w:tcBorders>
            <w:noWrap/>
            <w:vAlign w:val="center"/>
          </w:tcPr>
          <w:p w14:paraId="2D4F904F">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0～5</w:t>
            </w:r>
          </w:p>
        </w:tc>
      </w:tr>
      <w:tr w14:paraId="480AA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31" w:type="dxa"/>
            <w:tcBorders>
              <w:top w:val="single" w:color="auto" w:sz="6" w:space="0"/>
              <w:left w:val="single" w:color="auto" w:sz="12" w:space="0"/>
              <w:bottom w:val="single" w:color="auto" w:sz="12" w:space="0"/>
              <w:right w:val="single" w:color="auto" w:sz="6" w:space="0"/>
            </w:tcBorders>
            <w:noWrap/>
            <w:vAlign w:val="center"/>
          </w:tcPr>
          <w:p w14:paraId="0DC134DB">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S14</w:t>
            </w:r>
          </w:p>
        </w:tc>
        <w:tc>
          <w:tcPr>
            <w:tcW w:w="851" w:type="dxa"/>
            <w:tcBorders>
              <w:top w:val="single" w:color="auto" w:sz="6" w:space="0"/>
              <w:left w:val="single" w:color="auto" w:sz="6" w:space="0"/>
              <w:bottom w:val="single" w:color="auto" w:sz="12" w:space="0"/>
              <w:right w:val="single" w:color="auto" w:sz="6" w:space="0"/>
            </w:tcBorders>
            <w:noWrap/>
            <w:vAlign w:val="center"/>
          </w:tcPr>
          <w:p w14:paraId="06B3A611">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3～5</w:t>
            </w:r>
          </w:p>
        </w:tc>
        <w:tc>
          <w:tcPr>
            <w:tcW w:w="567" w:type="dxa"/>
            <w:tcBorders>
              <w:top w:val="single" w:color="auto" w:sz="6" w:space="0"/>
              <w:left w:val="single" w:color="auto" w:sz="6" w:space="0"/>
              <w:bottom w:val="single" w:color="auto" w:sz="12" w:space="0"/>
              <w:right w:val="single" w:color="auto" w:sz="6" w:space="0"/>
            </w:tcBorders>
            <w:noWrap/>
            <w:vAlign w:val="center"/>
          </w:tcPr>
          <w:p w14:paraId="56B17A06">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1021" w:type="dxa"/>
            <w:tcBorders>
              <w:top w:val="single" w:color="auto" w:sz="6" w:space="0"/>
              <w:left w:val="single" w:color="auto" w:sz="6" w:space="0"/>
              <w:bottom w:val="single" w:color="auto" w:sz="12" w:space="0"/>
              <w:right w:val="single" w:color="auto" w:sz="6" w:space="0"/>
            </w:tcBorders>
            <w:noWrap/>
            <w:vAlign w:val="center"/>
          </w:tcPr>
          <w:p w14:paraId="2948058C">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3" w:type="dxa"/>
            <w:tcBorders>
              <w:top w:val="single" w:color="auto" w:sz="6" w:space="0"/>
              <w:left w:val="single" w:color="auto" w:sz="6" w:space="0"/>
              <w:bottom w:val="single" w:color="auto" w:sz="12" w:space="0"/>
              <w:right w:val="single" w:color="auto" w:sz="6" w:space="0"/>
            </w:tcBorders>
            <w:noWrap/>
            <w:vAlign w:val="center"/>
          </w:tcPr>
          <w:p w14:paraId="6E1886C6">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12" w:space="0"/>
              <w:right w:val="single" w:color="auto" w:sz="6" w:space="0"/>
            </w:tcBorders>
            <w:noWrap/>
            <w:vAlign w:val="center"/>
          </w:tcPr>
          <w:p w14:paraId="6C56625C">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12" w:space="0"/>
              <w:right w:val="single" w:color="auto" w:sz="6" w:space="0"/>
            </w:tcBorders>
            <w:noWrap/>
            <w:vAlign w:val="center"/>
          </w:tcPr>
          <w:p w14:paraId="65B92384">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63" w:type="dxa"/>
            <w:tcBorders>
              <w:top w:val="single" w:color="auto" w:sz="6" w:space="0"/>
              <w:left w:val="single" w:color="auto" w:sz="6" w:space="0"/>
              <w:bottom w:val="single" w:color="auto" w:sz="12" w:space="0"/>
              <w:right w:val="single" w:color="auto" w:sz="6" w:space="0"/>
            </w:tcBorders>
            <w:noWrap/>
            <w:vAlign w:val="center"/>
          </w:tcPr>
          <w:p w14:paraId="3349FDFC">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3" w:type="dxa"/>
            <w:tcBorders>
              <w:top w:val="single" w:color="auto" w:sz="6" w:space="0"/>
              <w:left w:val="single" w:color="auto" w:sz="6" w:space="0"/>
              <w:bottom w:val="single" w:color="auto" w:sz="12" w:space="0"/>
              <w:right w:val="single" w:color="auto" w:sz="6" w:space="0"/>
            </w:tcBorders>
            <w:noWrap/>
            <w:vAlign w:val="center"/>
          </w:tcPr>
          <w:p w14:paraId="597B6571">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1025" w:type="dxa"/>
            <w:tcBorders>
              <w:top w:val="single" w:color="auto" w:sz="6" w:space="0"/>
              <w:left w:val="single" w:color="auto" w:sz="6" w:space="0"/>
              <w:bottom w:val="single" w:color="auto" w:sz="12" w:space="0"/>
              <w:right w:val="single" w:color="auto" w:sz="6" w:space="0"/>
            </w:tcBorders>
            <w:noWrap/>
            <w:vAlign w:val="center"/>
          </w:tcPr>
          <w:p w14:paraId="6F2896F1">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12" w:space="0"/>
              <w:right w:val="single" w:color="auto" w:sz="6" w:space="0"/>
            </w:tcBorders>
            <w:noWrap/>
            <w:vAlign w:val="center"/>
          </w:tcPr>
          <w:p w14:paraId="35AA4C43">
            <w:pPr>
              <w:keepNext w:val="0"/>
              <w:keepLines w:val="0"/>
              <w:pageBreakBefore w:val="0"/>
              <w:widowControl/>
              <w:kinsoku/>
              <w:wordWrap/>
              <w:overflowPunct/>
              <w:topLinePunct w:val="0"/>
              <w:autoSpaceDE/>
              <w:autoSpaceDN/>
              <w:bidi w:val="0"/>
              <w:snapToGrid/>
              <w:spacing w:line="288" w:lineRule="auto"/>
              <w:jc w:val="center"/>
              <w:textAlignment w:val="auto"/>
            </w:pPr>
          </w:p>
        </w:tc>
        <w:tc>
          <w:tcPr>
            <w:tcW w:w="992" w:type="dxa"/>
            <w:tcBorders>
              <w:top w:val="single" w:color="auto" w:sz="6" w:space="0"/>
              <w:left w:val="single" w:color="auto" w:sz="6" w:space="0"/>
              <w:bottom w:val="single" w:color="auto" w:sz="12" w:space="0"/>
              <w:right w:val="single" w:color="auto" w:sz="6" w:space="0"/>
            </w:tcBorders>
            <w:noWrap/>
            <w:vAlign w:val="center"/>
          </w:tcPr>
          <w:p w14:paraId="726156E3">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100</w:t>
            </w:r>
          </w:p>
        </w:tc>
        <w:tc>
          <w:tcPr>
            <w:tcW w:w="992" w:type="dxa"/>
            <w:tcBorders>
              <w:top w:val="single" w:color="auto" w:sz="6" w:space="0"/>
              <w:left w:val="single" w:color="auto" w:sz="6" w:space="0"/>
              <w:bottom w:val="single" w:color="auto" w:sz="12" w:space="0"/>
              <w:right w:val="single" w:color="auto" w:sz="6" w:space="0"/>
            </w:tcBorders>
            <w:noWrap/>
            <w:vAlign w:val="center"/>
          </w:tcPr>
          <w:p w14:paraId="78BBC861">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90～100</w:t>
            </w:r>
          </w:p>
        </w:tc>
        <w:tc>
          <w:tcPr>
            <w:tcW w:w="851" w:type="dxa"/>
            <w:tcBorders>
              <w:top w:val="single" w:color="auto" w:sz="6" w:space="0"/>
              <w:left w:val="single" w:color="auto" w:sz="6" w:space="0"/>
              <w:bottom w:val="single" w:color="auto" w:sz="12" w:space="0"/>
              <w:right w:val="single" w:color="auto" w:sz="6" w:space="0"/>
            </w:tcBorders>
            <w:noWrap/>
            <w:vAlign w:val="center"/>
          </w:tcPr>
          <w:p w14:paraId="47F78C00">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0～15</w:t>
            </w:r>
          </w:p>
        </w:tc>
        <w:tc>
          <w:tcPr>
            <w:tcW w:w="663" w:type="dxa"/>
            <w:tcBorders>
              <w:top w:val="single" w:color="auto" w:sz="6" w:space="0"/>
              <w:left w:val="single" w:color="auto" w:sz="6" w:space="0"/>
              <w:bottom w:val="single" w:color="auto" w:sz="12" w:space="0"/>
              <w:right w:val="single" w:color="auto" w:sz="12" w:space="0"/>
            </w:tcBorders>
            <w:noWrap/>
            <w:vAlign w:val="center"/>
          </w:tcPr>
          <w:p w14:paraId="0CE70596">
            <w:pPr>
              <w:keepNext w:val="0"/>
              <w:keepLines w:val="0"/>
              <w:pageBreakBefore w:val="0"/>
              <w:widowControl/>
              <w:kinsoku/>
              <w:wordWrap/>
              <w:overflowPunct/>
              <w:topLinePunct w:val="0"/>
              <w:autoSpaceDE/>
              <w:autoSpaceDN/>
              <w:bidi w:val="0"/>
              <w:snapToGrid/>
              <w:spacing w:line="288" w:lineRule="auto"/>
              <w:jc w:val="center"/>
              <w:textAlignment w:val="auto"/>
            </w:pPr>
            <w:r>
              <w:rPr>
                <w:rFonts w:hint="eastAsia"/>
              </w:rPr>
              <w:t>0～3</w:t>
            </w:r>
          </w:p>
        </w:tc>
      </w:tr>
    </w:tbl>
    <w:p w14:paraId="2B2EA441">
      <w:pPr>
        <w:keepNext w:val="0"/>
        <w:keepLines w:val="0"/>
        <w:pageBreakBefore w:val="0"/>
        <w:kinsoku/>
        <w:wordWrap/>
        <w:overflowPunct/>
        <w:topLinePunct w:val="0"/>
        <w:autoSpaceDE/>
        <w:autoSpaceDN/>
        <w:bidi w:val="0"/>
        <w:snapToGrid/>
        <w:spacing w:line="288" w:lineRule="auto"/>
        <w:ind w:firstLine="482" w:firstLineChars="200"/>
        <w:textAlignment w:val="auto"/>
        <w:rPr>
          <w:rFonts w:ascii="宋体" w:hAnsi="宋体" w:cs="宋体"/>
          <w:b/>
          <w:bCs/>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cs="宋体"/>
          <w:b/>
          <w:bCs/>
          <w:sz w:val="24"/>
        </w:rPr>
        <w:t>.3细集料</w:t>
      </w:r>
    </w:p>
    <w:p w14:paraId="05D557C9">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细集料优先采用石屑，应洁净、干燥、无风化、无杂质、并有适当的颗粒级配，石屑生产时应采用抽吸措施，严格控制0.075mm的通过率，其质量技术要求及规格应满足下表的要求。</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167"/>
        <w:gridCol w:w="2537"/>
        <w:gridCol w:w="3948"/>
        <w:gridCol w:w="1562"/>
      </w:tblGrid>
      <w:tr w14:paraId="4C9BE8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214" w:type="dxa"/>
            <w:gridSpan w:val="4"/>
            <w:tcBorders>
              <w:top w:val="nil"/>
              <w:left w:val="nil"/>
              <w:bottom w:val="single" w:color="auto" w:sz="12" w:space="0"/>
              <w:right w:val="nil"/>
            </w:tcBorders>
            <w:shd w:val="clear" w:color="auto" w:fill="auto"/>
            <w:noWrap/>
            <w:vAlign w:val="center"/>
          </w:tcPr>
          <w:p w14:paraId="361DADE4">
            <w:pPr>
              <w:keepNext w:val="0"/>
              <w:keepLines w:val="0"/>
              <w:pageBreakBefore w:val="0"/>
              <w:kinsoku/>
              <w:wordWrap/>
              <w:overflowPunct/>
              <w:topLinePunct w:val="0"/>
              <w:autoSpaceDE/>
              <w:autoSpaceDN/>
              <w:bidi w:val="0"/>
              <w:snapToGrid/>
              <w:spacing w:line="288" w:lineRule="auto"/>
              <w:ind w:firstLine="560" w:firstLineChars="200"/>
              <w:jc w:val="center"/>
              <w:textAlignment w:val="auto"/>
              <w:rPr>
                <w:rFonts w:ascii="宋体" w:hAnsi="宋体"/>
                <w:bCs/>
                <w:sz w:val="28"/>
                <w:szCs w:val="28"/>
              </w:rPr>
            </w:pPr>
            <w:r>
              <w:rPr>
                <w:rFonts w:hint="eastAsia" w:ascii="宋体" w:hAnsi="宋体"/>
                <w:bCs/>
                <w:sz w:val="28"/>
                <w:szCs w:val="28"/>
              </w:rPr>
              <w:t>面层用细集料技术指标表</w:t>
            </w:r>
          </w:p>
        </w:tc>
      </w:tr>
      <w:tr w14:paraId="657A7A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167" w:type="dxa"/>
            <w:tcBorders>
              <w:top w:val="single" w:color="auto" w:sz="12" w:space="0"/>
              <w:bottom w:val="single" w:color="auto" w:sz="6" w:space="0"/>
              <w:right w:val="single" w:color="auto" w:sz="6" w:space="0"/>
            </w:tcBorders>
            <w:shd w:val="clear" w:color="auto" w:fill="auto"/>
            <w:vAlign w:val="center"/>
          </w:tcPr>
          <w:p w14:paraId="1A225C5F">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项目</w:t>
            </w:r>
          </w:p>
        </w:tc>
        <w:tc>
          <w:tcPr>
            <w:tcW w:w="2537" w:type="dxa"/>
            <w:tcBorders>
              <w:top w:val="single" w:color="auto" w:sz="12" w:space="0"/>
              <w:left w:val="single" w:color="auto" w:sz="6" w:space="0"/>
              <w:bottom w:val="single" w:color="auto" w:sz="6" w:space="0"/>
              <w:right w:val="single" w:color="auto" w:sz="6" w:space="0"/>
            </w:tcBorders>
            <w:shd w:val="clear" w:color="auto" w:fill="auto"/>
            <w:vAlign w:val="center"/>
          </w:tcPr>
          <w:p w14:paraId="375B6443">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表观相对密度(t/m</w:t>
            </w:r>
            <w:r>
              <w:rPr>
                <w:rFonts w:hint="eastAsia"/>
                <w:sz w:val="24"/>
                <w:vertAlign w:val="superscript"/>
              </w:rPr>
              <w:t>3</w:t>
            </w:r>
            <w:r>
              <w:rPr>
                <w:rFonts w:hint="eastAsia"/>
                <w:sz w:val="24"/>
              </w:rPr>
              <w:t>)</w:t>
            </w:r>
          </w:p>
        </w:tc>
        <w:tc>
          <w:tcPr>
            <w:tcW w:w="3948" w:type="dxa"/>
            <w:tcBorders>
              <w:top w:val="single" w:color="auto" w:sz="12" w:space="0"/>
              <w:left w:val="single" w:color="auto" w:sz="6" w:space="0"/>
              <w:bottom w:val="single" w:color="auto" w:sz="6" w:space="0"/>
              <w:right w:val="single" w:color="auto" w:sz="6" w:space="0"/>
            </w:tcBorders>
            <w:shd w:val="clear" w:color="auto" w:fill="auto"/>
            <w:vAlign w:val="center"/>
          </w:tcPr>
          <w:p w14:paraId="0214871A">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含泥量(小于0.075mm的含量)(%)</w:t>
            </w:r>
          </w:p>
        </w:tc>
        <w:tc>
          <w:tcPr>
            <w:tcW w:w="1562" w:type="dxa"/>
            <w:tcBorders>
              <w:top w:val="single" w:color="auto" w:sz="12" w:space="0"/>
              <w:left w:val="single" w:color="auto" w:sz="6" w:space="0"/>
              <w:bottom w:val="single" w:color="auto" w:sz="6" w:space="0"/>
            </w:tcBorders>
            <w:shd w:val="clear" w:color="auto" w:fill="auto"/>
            <w:vAlign w:val="center"/>
          </w:tcPr>
          <w:p w14:paraId="7279D613">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砂当量(%)</w:t>
            </w:r>
          </w:p>
        </w:tc>
      </w:tr>
      <w:tr w14:paraId="732473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167" w:type="dxa"/>
            <w:tcBorders>
              <w:top w:val="single" w:color="auto" w:sz="6" w:space="0"/>
              <w:bottom w:val="single" w:color="auto" w:sz="12" w:space="0"/>
              <w:right w:val="single" w:color="auto" w:sz="6" w:space="0"/>
            </w:tcBorders>
            <w:shd w:val="clear" w:color="auto" w:fill="auto"/>
            <w:vAlign w:val="center"/>
          </w:tcPr>
          <w:p w14:paraId="5FD64BDD">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指标</w:t>
            </w:r>
          </w:p>
        </w:tc>
        <w:tc>
          <w:tcPr>
            <w:tcW w:w="2537" w:type="dxa"/>
            <w:tcBorders>
              <w:top w:val="single" w:color="auto" w:sz="6" w:space="0"/>
              <w:left w:val="single" w:color="auto" w:sz="6" w:space="0"/>
              <w:bottom w:val="single" w:color="auto" w:sz="12" w:space="0"/>
              <w:right w:val="single" w:color="auto" w:sz="6" w:space="0"/>
            </w:tcBorders>
            <w:shd w:val="clear" w:color="auto" w:fill="auto"/>
            <w:vAlign w:val="center"/>
          </w:tcPr>
          <w:p w14:paraId="7CBDA343">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不小于2.45</w:t>
            </w:r>
          </w:p>
        </w:tc>
        <w:tc>
          <w:tcPr>
            <w:tcW w:w="3948" w:type="dxa"/>
            <w:tcBorders>
              <w:top w:val="single" w:color="auto" w:sz="6" w:space="0"/>
              <w:left w:val="single" w:color="auto" w:sz="6" w:space="0"/>
              <w:bottom w:val="single" w:color="auto" w:sz="12" w:space="0"/>
              <w:right w:val="single" w:color="auto" w:sz="6" w:space="0"/>
            </w:tcBorders>
            <w:shd w:val="clear" w:color="auto" w:fill="auto"/>
            <w:vAlign w:val="center"/>
          </w:tcPr>
          <w:p w14:paraId="1C3A4BE2">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不大于5</w:t>
            </w:r>
          </w:p>
        </w:tc>
        <w:tc>
          <w:tcPr>
            <w:tcW w:w="1562" w:type="dxa"/>
            <w:tcBorders>
              <w:top w:val="single" w:color="auto" w:sz="6" w:space="0"/>
              <w:left w:val="single" w:color="auto" w:sz="6" w:space="0"/>
              <w:bottom w:val="single" w:color="auto" w:sz="12" w:space="0"/>
            </w:tcBorders>
            <w:shd w:val="clear" w:color="auto" w:fill="auto"/>
            <w:vAlign w:val="center"/>
          </w:tcPr>
          <w:p w14:paraId="1EE11BE0">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不小于50</w:t>
            </w:r>
          </w:p>
        </w:tc>
      </w:tr>
    </w:tbl>
    <w:p w14:paraId="20C6CC33">
      <w:pPr>
        <w:keepNext w:val="0"/>
        <w:keepLines w:val="0"/>
        <w:pageBreakBefore w:val="0"/>
        <w:kinsoku/>
        <w:wordWrap/>
        <w:overflowPunct/>
        <w:topLinePunct w:val="0"/>
        <w:autoSpaceDE/>
        <w:autoSpaceDN/>
        <w:bidi w:val="0"/>
        <w:snapToGrid/>
        <w:spacing w:line="288" w:lineRule="auto"/>
        <w:ind w:firstLine="480" w:firstLineChars="200"/>
        <w:jc w:val="left"/>
        <w:textAlignment w:val="auto"/>
        <w:rPr>
          <w:rFonts w:ascii="宋体" w:hAnsi="宋体"/>
          <w:sz w:val="24"/>
        </w:rPr>
      </w:pPr>
      <w:r>
        <w:rPr>
          <w:rFonts w:hint="eastAsia" w:ascii="宋体" w:hAnsi="宋体" w:cs="宋体"/>
          <w:sz w:val="24"/>
        </w:rPr>
        <w:t>石屑的规格见下表。</w:t>
      </w:r>
    </w:p>
    <w:tbl>
      <w:tblPr>
        <w:tblStyle w:val="8"/>
        <w:tblW w:w="0" w:type="auto"/>
        <w:jc w:val="center"/>
        <w:tblLayout w:type="autofit"/>
        <w:tblCellMar>
          <w:top w:w="0" w:type="dxa"/>
          <w:left w:w="108" w:type="dxa"/>
          <w:bottom w:w="0" w:type="dxa"/>
          <w:right w:w="108" w:type="dxa"/>
        </w:tblCellMar>
      </w:tblPr>
      <w:tblGrid>
        <w:gridCol w:w="709"/>
        <w:gridCol w:w="1098"/>
        <w:gridCol w:w="954"/>
        <w:gridCol w:w="1161"/>
        <w:gridCol w:w="1150"/>
        <w:gridCol w:w="1142"/>
        <w:gridCol w:w="1142"/>
        <w:gridCol w:w="962"/>
        <w:gridCol w:w="924"/>
        <w:gridCol w:w="1069"/>
      </w:tblGrid>
      <w:tr w14:paraId="2102D98D">
        <w:tblPrEx>
          <w:tblCellMar>
            <w:top w:w="0" w:type="dxa"/>
            <w:left w:w="108" w:type="dxa"/>
            <w:bottom w:w="0" w:type="dxa"/>
            <w:right w:w="108" w:type="dxa"/>
          </w:tblCellMar>
        </w:tblPrEx>
        <w:trPr>
          <w:trHeight w:val="454" w:hRule="atLeast"/>
          <w:jc w:val="center"/>
        </w:trPr>
        <w:tc>
          <w:tcPr>
            <w:tcW w:w="10311" w:type="dxa"/>
            <w:gridSpan w:val="10"/>
            <w:tcBorders>
              <w:top w:val="nil"/>
              <w:left w:val="nil"/>
              <w:bottom w:val="single" w:color="auto" w:sz="12" w:space="0"/>
              <w:right w:val="nil"/>
            </w:tcBorders>
          </w:tcPr>
          <w:p w14:paraId="1A0AA28A">
            <w:pPr>
              <w:keepNext w:val="0"/>
              <w:keepLines w:val="0"/>
              <w:pageBreakBefore w:val="0"/>
              <w:kinsoku/>
              <w:wordWrap/>
              <w:overflowPunct/>
              <w:topLinePunct w:val="0"/>
              <w:autoSpaceDE/>
              <w:autoSpaceDN/>
              <w:bidi w:val="0"/>
              <w:snapToGrid/>
              <w:spacing w:line="288" w:lineRule="auto"/>
              <w:ind w:firstLine="480" w:firstLineChars="200"/>
              <w:jc w:val="center"/>
              <w:textAlignment w:val="auto"/>
              <w:rPr>
                <w:rFonts w:ascii="宋体" w:hAnsi="宋体"/>
                <w:bCs/>
                <w:sz w:val="24"/>
              </w:rPr>
            </w:pPr>
            <w:r>
              <w:rPr>
                <w:rFonts w:hint="eastAsia" w:ascii="宋体" w:hAnsi="宋体"/>
                <w:bCs/>
                <w:sz w:val="24"/>
              </w:rPr>
              <w:t>沥青面层用细集料规格及级配要求表</w:t>
            </w:r>
          </w:p>
        </w:tc>
      </w:tr>
      <w:tr w14:paraId="4869D815">
        <w:tblPrEx>
          <w:tblCellMar>
            <w:top w:w="0" w:type="dxa"/>
            <w:left w:w="108" w:type="dxa"/>
            <w:bottom w:w="0" w:type="dxa"/>
            <w:right w:w="108" w:type="dxa"/>
          </w:tblCellMar>
        </w:tblPrEx>
        <w:trPr>
          <w:trHeight w:val="454" w:hRule="exact"/>
          <w:jc w:val="center"/>
        </w:trPr>
        <w:tc>
          <w:tcPr>
            <w:tcW w:w="709" w:type="dxa"/>
            <w:vMerge w:val="restart"/>
            <w:tcBorders>
              <w:top w:val="single" w:color="auto" w:sz="12" w:space="0"/>
              <w:left w:val="single" w:color="auto" w:sz="12" w:space="0"/>
              <w:bottom w:val="single" w:color="auto" w:sz="6" w:space="0"/>
              <w:right w:val="single" w:color="auto" w:sz="6" w:space="0"/>
            </w:tcBorders>
            <w:shd w:val="clear" w:color="auto" w:fill="auto"/>
            <w:noWrap/>
            <w:vAlign w:val="center"/>
          </w:tcPr>
          <w:p w14:paraId="3DC51575">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规格</w:t>
            </w:r>
          </w:p>
        </w:tc>
        <w:tc>
          <w:tcPr>
            <w:tcW w:w="1098" w:type="dxa"/>
            <w:vMerge w:val="restart"/>
            <w:tcBorders>
              <w:top w:val="single" w:color="auto" w:sz="12" w:space="0"/>
              <w:left w:val="single" w:color="auto" w:sz="6" w:space="0"/>
              <w:bottom w:val="single" w:color="auto" w:sz="6" w:space="0"/>
              <w:right w:val="single" w:color="auto" w:sz="6" w:space="0"/>
            </w:tcBorders>
            <w:shd w:val="clear" w:color="auto" w:fill="auto"/>
            <w:vAlign w:val="center"/>
          </w:tcPr>
          <w:p w14:paraId="04B89ED7">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公称粒径(mm)</w:t>
            </w:r>
          </w:p>
        </w:tc>
        <w:tc>
          <w:tcPr>
            <w:tcW w:w="8504" w:type="dxa"/>
            <w:gridSpan w:val="8"/>
            <w:tcBorders>
              <w:top w:val="single" w:color="auto" w:sz="12" w:space="0"/>
              <w:left w:val="single" w:color="auto" w:sz="6" w:space="0"/>
              <w:bottom w:val="single" w:color="auto" w:sz="6" w:space="0"/>
              <w:right w:val="single" w:color="auto" w:sz="12" w:space="0"/>
            </w:tcBorders>
            <w:vAlign w:val="center"/>
          </w:tcPr>
          <w:p w14:paraId="69DC26C0">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通过各筛孔的质量百分率(%)</w:t>
            </w:r>
          </w:p>
        </w:tc>
      </w:tr>
      <w:tr w14:paraId="1D692FBC">
        <w:tblPrEx>
          <w:tblCellMar>
            <w:top w:w="0" w:type="dxa"/>
            <w:left w:w="108" w:type="dxa"/>
            <w:bottom w:w="0" w:type="dxa"/>
            <w:right w:w="108" w:type="dxa"/>
          </w:tblCellMar>
        </w:tblPrEx>
        <w:trPr>
          <w:trHeight w:val="454" w:hRule="exact"/>
          <w:jc w:val="center"/>
        </w:trPr>
        <w:tc>
          <w:tcPr>
            <w:tcW w:w="709" w:type="dxa"/>
            <w:vMerge w:val="continue"/>
            <w:tcBorders>
              <w:top w:val="single" w:color="auto" w:sz="6" w:space="0"/>
              <w:left w:val="single" w:color="auto" w:sz="12" w:space="0"/>
              <w:bottom w:val="single" w:color="auto" w:sz="6" w:space="0"/>
              <w:right w:val="single" w:color="auto" w:sz="6" w:space="0"/>
            </w:tcBorders>
            <w:vAlign w:val="center"/>
          </w:tcPr>
          <w:p w14:paraId="1CC34D59">
            <w:pPr>
              <w:keepNext w:val="0"/>
              <w:keepLines w:val="0"/>
              <w:pageBreakBefore w:val="0"/>
              <w:widowControl/>
              <w:kinsoku/>
              <w:wordWrap/>
              <w:overflowPunct/>
              <w:topLinePunct w:val="0"/>
              <w:autoSpaceDE/>
              <w:autoSpaceDN/>
              <w:bidi w:val="0"/>
              <w:snapToGrid/>
              <w:spacing w:line="288" w:lineRule="auto"/>
              <w:jc w:val="center"/>
              <w:textAlignment w:val="auto"/>
              <w:rPr>
                <w:sz w:val="24"/>
              </w:rPr>
            </w:pPr>
          </w:p>
        </w:tc>
        <w:tc>
          <w:tcPr>
            <w:tcW w:w="1098" w:type="dxa"/>
            <w:vMerge w:val="continue"/>
            <w:tcBorders>
              <w:top w:val="single" w:color="auto" w:sz="6" w:space="0"/>
              <w:left w:val="single" w:color="auto" w:sz="6" w:space="0"/>
              <w:bottom w:val="single" w:color="auto" w:sz="6" w:space="0"/>
              <w:right w:val="single" w:color="auto" w:sz="6" w:space="0"/>
            </w:tcBorders>
            <w:vAlign w:val="center"/>
          </w:tcPr>
          <w:p w14:paraId="0F226E53">
            <w:pPr>
              <w:keepNext w:val="0"/>
              <w:keepLines w:val="0"/>
              <w:pageBreakBefore w:val="0"/>
              <w:widowControl/>
              <w:kinsoku/>
              <w:wordWrap/>
              <w:overflowPunct/>
              <w:topLinePunct w:val="0"/>
              <w:autoSpaceDE/>
              <w:autoSpaceDN/>
              <w:bidi w:val="0"/>
              <w:snapToGrid/>
              <w:spacing w:line="288" w:lineRule="auto"/>
              <w:jc w:val="center"/>
              <w:textAlignment w:val="auto"/>
              <w:rPr>
                <w:sz w:val="24"/>
              </w:rPr>
            </w:pPr>
          </w:p>
        </w:tc>
        <w:tc>
          <w:tcPr>
            <w:tcW w:w="954" w:type="dxa"/>
            <w:tcBorders>
              <w:top w:val="single" w:color="auto" w:sz="6" w:space="0"/>
              <w:left w:val="single" w:color="auto" w:sz="6" w:space="0"/>
              <w:bottom w:val="single" w:color="auto" w:sz="6" w:space="0"/>
              <w:right w:val="single" w:color="auto" w:sz="6" w:space="0"/>
            </w:tcBorders>
            <w:shd w:val="clear" w:color="auto" w:fill="auto"/>
            <w:noWrap/>
            <w:vAlign w:val="center"/>
          </w:tcPr>
          <w:p w14:paraId="3E49923D">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sz w:val="24"/>
              </w:rPr>
              <w:t>9.5</w:t>
            </w:r>
          </w:p>
        </w:tc>
        <w:tc>
          <w:tcPr>
            <w:tcW w:w="1161" w:type="dxa"/>
            <w:tcBorders>
              <w:top w:val="single" w:color="auto" w:sz="6" w:space="0"/>
              <w:left w:val="single" w:color="auto" w:sz="6" w:space="0"/>
              <w:bottom w:val="single" w:color="auto" w:sz="6" w:space="0"/>
              <w:right w:val="single" w:color="auto" w:sz="6" w:space="0"/>
            </w:tcBorders>
            <w:vAlign w:val="center"/>
          </w:tcPr>
          <w:p w14:paraId="45FF8BF7">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4.75</w:t>
            </w:r>
          </w:p>
        </w:tc>
        <w:tc>
          <w:tcPr>
            <w:tcW w:w="1150" w:type="dxa"/>
            <w:tcBorders>
              <w:top w:val="single" w:color="auto" w:sz="6" w:space="0"/>
              <w:left w:val="single" w:color="auto" w:sz="6" w:space="0"/>
              <w:bottom w:val="single" w:color="auto" w:sz="6" w:space="0"/>
              <w:right w:val="single" w:color="auto" w:sz="6" w:space="0"/>
            </w:tcBorders>
            <w:shd w:val="clear" w:color="auto" w:fill="auto"/>
            <w:noWrap/>
            <w:vAlign w:val="center"/>
          </w:tcPr>
          <w:p w14:paraId="1A81FDC1">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2.36</w:t>
            </w:r>
          </w:p>
        </w:tc>
        <w:tc>
          <w:tcPr>
            <w:tcW w:w="114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5DA26E11">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1.18</w:t>
            </w:r>
          </w:p>
        </w:tc>
        <w:tc>
          <w:tcPr>
            <w:tcW w:w="114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4D8BA043">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0.6</w:t>
            </w:r>
          </w:p>
        </w:tc>
        <w:tc>
          <w:tcPr>
            <w:tcW w:w="96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40EB673C">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0.3</w:t>
            </w:r>
          </w:p>
        </w:tc>
        <w:tc>
          <w:tcPr>
            <w:tcW w:w="924" w:type="dxa"/>
            <w:tcBorders>
              <w:top w:val="single" w:color="auto" w:sz="6" w:space="0"/>
              <w:left w:val="single" w:color="auto" w:sz="6" w:space="0"/>
              <w:bottom w:val="single" w:color="auto" w:sz="6" w:space="0"/>
              <w:right w:val="single" w:color="auto" w:sz="6" w:space="0"/>
            </w:tcBorders>
            <w:shd w:val="clear" w:color="auto" w:fill="auto"/>
            <w:noWrap/>
            <w:vAlign w:val="center"/>
          </w:tcPr>
          <w:p w14:paraId="094A153C">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0.15</w:t>
            </w:r>
          </w:p>
        </w:tc>
        <w:tc>
          <w:tcPr>
            <w:tcW w:w="1069" w:type="dxa"/>
            <w:tcBorders>
              <w:top w:val="single" w:color="auto" w:sz="6" w:space="0"/>
              <w:left w:val="single" w:color="auto" w:sz="6" w:space="0"/>
              <w:bottom w:val="single" w:color="auto" w:sz="6" w:space="0"/>
              <w:right w:val="single" w:color="auto" w:sz="12" w:space="0"/>
            </w:tcBorders>
            <w:shd w:val="clear" w:color="auto" w:fill="auto"/>
            <w:noWrap/>
            <w:vAlign w:val="center"/>
          </w:tcPr>
          <w:p w14:paraId="6B943D68">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0.075</w:t>
            </w:r>
          </w:p>
        </w:tc>
      </w:tr>
      <w:tr w14:paraId="68EDDAC4">
        <w:tblPrEx>
          <w:tblCellMar>
            <w:top w:w="0" w:type="dxa"/>
            <w:left w:w="108" w:type="dxa"/>
            <w:bottom w:w="0" w:type="dxa"/>
            <w:right w:w="108" w:type="dxa"/>
          </w:tblCellMar>
        </w:tblPrEx>
        <w:trPr>
          <w:trHeight w:val="454" w:hRule="exact"/>
          <w:jc w:val="center"/>
        </w:trPr>
        <w:tc>
          <w:tcPr>
            <w:tcW w:w="709" w:type="dxa"/>
            <w:tcBorders>
              <w:top w:val="single" w:color="auto" w:sz="6" w:space="0"/>
              <w:left w:val="single" w:color="auto" w:sz="12" w:space="0"/>
              <w:bottom w:val="single" w:color="auto" w:sz="12" w:space="0"/>
              <w:right w:val="single" w:color="auto" w:sz="6" w:space="0"/>
            </w:tcBorders>
            <w:shd w:val="clear" w:color="auto" w:fill="auto"/>
            <w:noWrap/>
            <w:vAlign w:val="center"/>
          </w:tcPr>
          <w:p w14:paraId="1CCEB73E">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S1</w:t>
            </w:r>
            <w:r>
              <w:rPr>
                <w:sz w:val="24"/>
              </w:rPr>
              <w:t>5</w:t>
            </w:r>
          </w:p>
        </w:tc>
        <w:tc>
          <w:tcPr>
            <w:tcW w:w="1098" w:type="dxa"/>
            <w:tcBorders>
              <w:top w:val="single" w:color="auto" w:sz="6" w:space="0"/>
              <w:left w:val="single" w:color="auto" w:sz="6" w:space="0"/>
              <w:bottom w:val="single" w:color="auto" w:sz="12" w:space="0"/>
              <w:right w:val="single" w:color="auto" w:sz="6" w:space="0"/>
            </w:tcBorders>
            <w:shd w:val="clear" w:color="auto" w:fill="auto"/>
            <w:noWrap/>
            <w:vAlign w:val="center"/>
          </w:tcPr>
          <w:p w14:paraId="3666AD0C">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0～</w:t>
            </w:r>
            <w:r>
              <w:rPr>
                <w:sz w:val="24"/>
              </w:rPr>
              <w:t>5</w:t>
            </w:r>
          </w:p>
        </w:tc>
        <w:tc>
          <w:tcPr>
            <w:tcW w:w="954" w:type="dxa"/>
            <w:tcBorders>
              <w:top w:val="single" w:color="auto" w:sz="6" w:space="0"/>
              <w:left w:val="single" w:color="auto" w:sz="6" w:space="0"/>
              <w:bottom w:val="single" w:color="auto" w:sz="12" w:space="0"/>
              <w:right w:val="single" w:color="auto" w:sz="6" w:space="0"/>
            </w:tcBorders>
            <w:shd w:val="clear" w:color="auto" w:fill="auto"/>
            <w:noWrap/>
            <w:vAlign w:val="center"/>
          </w:tcPr>
          <w:p w14:paraId="130711D1">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100</w:t>
            </w:r>
          </w:p>
        </w:tc>
        <w:tc>
          <w:tcPr>
            <w:tcW w:w="1161" w:type="dxa"/>
            <w:tcBorders>
              <w:top w:val="single" w:color="auto" w:sz="6" w:space="0"/>
              <w:left w:val="single" w:color="auto" w:sz="6" w:space="0"/>
              <w:bottom w:val="single" w:color="auto" w:sz="12" w:space="0"/>
              <w:right w:val="single" w:color="auto" w:sz="6" w:space="0"/>
            </w:tcBorders>
            <w:vAlign w:val="center"/>
          </w:tcPr>
          <w:p w14:paraId="2A8AEB4F">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sz w:val="24"/>
              </w:rPr>
              <w:t>90</w:t>
            </w:r>
            <w:r>
              <w:rPr>
                <w:rFonts w:hint="eastAsia"/>
                <w:sz w:val="24"/>
              </w:rPr>
              <w:t>～100</w:t>
            </w:r>
          </w:p>
        </w:tc>
        <w:tc>
          <w:tcPr>
            <w:tcW w:w="1150" w:type="dxa"/>
            <w:tcBorders>
              <w:top w:val="single" w:color="auto" w:sz="6" w:space="0"/>
              <w:left w:val="single" w:color="auto" w:sz="6" w:space="0"/>
              <w:bottom w:val="single" w:color="auto" w:sz="12" w:space="0"/>
              <w:right w:val="single" w:color="auto" w:sz="6" w:space="0"/>
            </w:tcBorders>
            <w:shd w:val="clear" w:color="auto" w:fill="auto"/>
            <w:noWrap/>
            <w:vAlign w:val="center"/>
          </w:tcPr>
          <w:p w14:paraId="200A6961">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sz w:val="24"/>
              </w:rPr>
              <w:t>60</w:t>
            </w:r>
            <w:r>
              <w:rPr>
                <w:rFonts w:hint="eastAsia"/>
                <w:sz w:val="24"/>
              </w:rPr>
              <w:t>～</w:t>
            </w:r>
            <w:r>
              <w:rPr>
                <w:sz w:val="24"/>
              </w:rPr>
              <w:t>90</w:t>
            </w:r>
          </w:p>
        </w:tc>
        <w:tc>
          <w:tcPr>
            <w:tcW w:w="1142" w:type="dxa"/>
            <w:tcBorders>
              <w:top w:val="single" w:color="auto" w:sz="6" w:space="0"/>
              <w:left w:val="single" w:color="auto" w:sz="6" w:space="0"/>
              <w:bottom w:val="single" w:color="auto" w:sz="12" w:space="0"/>
              <w:right w:val="single" w:color="auto" w:sz="6" w:space="0"/>
            </w:tcBorders>
            <w:shd w:val="clear" w:color="auto" w:fill="auto"/>
            <w:noWrap/>
            <w:vAlign w:val="center"/>
          </w:tcPr>
          <w:p w14:paraId="5419BB0F">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sz w:val="24"/>
              </w:rPr>
              <w:t>40</w:t>
            </w:r>
            <w:r>
              <w:rPr>
                <w:rFonts w:hint="eastAsia"/>
                <w:sz w:val="24"/>
              </w:rPr>
              <w:t>～</w:t>
            </w:r>
            <w:r>
              <w:rPr>
                <w:sz w:val="24"/>
              </w:rPr>
              <w:t>75</w:t>
            </w:r>
          </w:p>
        </w:tc>
        <w:tc>
          <w:tcPr>
            <w:tcW w:w="1142" w:type="dxa"/>
            <w:tcBorders>
              <w:top w:val="single" w:color="auto" w:sz="6" w:space="0"/>
              <w:left w:val="single" w:color="auto" w:sz="6" w:space="0"/>
              <w:bottom w:val="single" w:color="auto" w:sz="12" w:space="0"/>
              <w:right w:val="single" w:color="auto" w:sz="6" w:space="0"/>
            </w:tcBorders>
            <w:shd w:val="clear" w:color="auto" w:fill="auto"/>
            <w:noWrap/>
            <w:vAlign w:val="center"/>
          </w:tcPr>
          <w:p w14:paraId="568C1327">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sz w:val="24"/>
              </w:rPr>
              <w:t>20</w:t>
            </w:r>
            <w:r>
              <w:rPr>
                <w:rFonts w:hint="eastAsia"/>
                <w:sz w:val="24"/>
              </w:rPr>
              <w:t>～</w:t>
            </w:r>
            <w:r>
              <w:rPr>
                <w:sz w:val="24"/>
              </w:rPr>
              <w:t>55</w:t>
            </w:r>
          </w:p>
        </w:tc>
        <w:tc>
          <w:tcPr>
            <w:tcW w:w="962" w:type="dxa"/>
            <w:tcBorders>
              <w:top w:val="single" w:color="auto" w:sz="6" w:space="0"/>
              <w:left w:val="single" w:color="auto" w:sz="6" w:space="0"/>
              <w:bottom w:val="single" w:color="auto" w:sz="12" w:space="0"/>
              <w:right w:val="single" w:color="auto" w:sz="6" w:space="0"/>
            </w:tcBorders>
            <w:shd w:val="clear" w:color="auto" w:fill="auto"/>
            <w:noWrap/>
            <w:vAlign w:val="center"/>
          </w:tcPr>
          <w:p w14:paraId="79E839B2">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sz w:val="24"/>
              </w:rPr>
              <w:t>7</w:t>
            </w:r>
            <w:r>
              <w:rPr>
                <w:rFonts w:hint="eastAsia"/>
                <w:sz w:val="24"/>
              </w:rPr>
              <w:t>～</w:t>
            </w:r>
            <w:r>
              <w:rPr>
                <w:sz w:val="24"/>
              </w:rPr>
              <w:t>40</w:t>
            </w:r>
          </w:p>
        </w:tc>
        <w:tc>
          <w:tcPr>
            <w:tcW w:w="924" w:type="dxa"/>
            <w:tcBorders>
              <w:top w:val="single" w:color="auto" w:sz="6" w:space="0"/>
              <w:left w:val="single" w:color="auto" w:sz="6" w:space="0"/>
              <w:bottom w:val="single" w:color="auto" w:sz="12" w:space="0"/>
              <w:right w:val="single" w:color="auto" w:sz="6" w:space="0"/>
            </w:tcBorders>
            <w:shd w:val="clear" w:color="auto" w:fill="auto"/>
            <w:noWrap/>
            <w:vAlign w:val="center"/>
          </w:tcPr>
          <w:p w14:paraId="43711964">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sz w:val="24"/>
              </w:rPr>
              <w:t>2</w:t>
            </w:r>
            <w:r>
              <w:rPr>
                <w:rFonts w:hint="eastAsia"/>
                <w:sz w:val="24"/>
              </w:rPr>
              <w:t>～</w:t>
            </w:r>
            <w:r>
              <w:rPr>
                <w:sz w:val="24"/>
              </w:rPr>
              <w:t>20</w:t>
            </w:r>
          </w:p>
        </w:tc>
        <w:tc>
          <w:tcPr>
            <w:tcW w:w="1069" w:type="dxa"/>
            <w:tcBorders>
              <w:top w:val="single" w:color="auto" w:sz="6" w:space="0"/>
              <w:left w:val="single" w:color="auto" w:sz="6" w:space="0"/>
              <w:bottom w:val="single" w:color="auto" w:sz="12" w:space="0"/>
              <w:right w:val="single" w:color="auto" w:sz="12" w:space="0"/>
            </w:tcBorders>
            <w:shd w:val="clear" w:color="auto" w:fill="auto"/>
            <w:noWrap/>
            <w:vAlign w:val="center"/>
          </w:tcPr>
          <w:p w14:paraId="27FDFF5D">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0～</w:t>
            </w:r>
            <w:r>
              <w:rPr>
                <w:sz w:val="24"/>
              </w:rPr>
              <w:t>10</w:t>
            </w:r>
          </w:p>
        </w:tc>
      </w:tr>
    </w:tbl>
    <w:p w14:paraId="54707784">
      <w:pPr>
        <w:keepNext w:val="0"/>
        <w:keepLines w:val="0"/>
        <w:pageBreakBefore w:val="0"/>
        <w:kinsoku/>
        <w:wordWrap/>
        <w:overflowPunct/>
        <w:topLinePunct w:val="0"/>
        <w:autoSpaceDE/>
        <w:autoSpaceDN/>
        <w:bidi w:val="0"/>
        <w:snapToGrid/>
        <w:spacing w:line="288" w:lineRule="auto"/>
        <w:ind w:firstLine="482" w:firstLineChars="200"/>
        <w:textAlignment w:val="auto"/>
        <w:rPr>
          <w:rFonts w:ascii="宋体" w:hAnsi="宋体" w:cs="宋体"/>
          <w:b/>
          <w:bCs/>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cs="宋体"/>
          <w:b/>
          <w:bCs/>
          <w:sz w:val="24"/>
        </w:rPr>
        <w:t>.4填料：</w:t>
      </w:r>
    </w:p>
    <w:p w14:paraId="39AF967F">
      <w:pPr>
        <w:keepNext w:val="0"/>
        <w:keepLines w:val="0"/>
        <w:pageBreakBefore w:val="0"/>
        <w:tabs>
          <w:tab w:val="left" w:pos="10440"/>
        </w:tabs>
        <w:kinsoku/>
        <w:wordWrap/>
        <w:overflowPunct/>
        <w:topLinePunct w:val="0"/>
        <w:autoSpaceDE/>
        <w:autoSpaceDN/>
        <w:bidi w:val="0"/>
        <w:adjustRightInd w:val="0"/>
        <w:snapToGrid/>
        <w:spacing w:line="288" w:lineRule="auto"/>
        <w:ind w:firstLine="480" w:firstLineChars="200"/>
        <w:jc w:val="left"/>
        <w:textAlignment w:val="auto"/>
        <w:rPr>
          <w:rFonts w:ascii="宋体" w:hAnsi="宋体" w:cs="宋体"/>
          <w:sz w:val="24"/>
        </w:rPr>
      </w:pPr>
      <w:r>
        <w:rPr>
          <w:rFonts w:hint="eastAsia" w:ascii="宋体" w:hAnsi="宋体" w:cs="宋体"/>
          <w:sz w:val="24"/>
        </w:rPr>
        <w:t>填料必须采用石灰岩或岩浆岩等憎水性石料经过磨细得到的矿粉，原石料中的杂质应除净。矿粉要求干燥、洁净，能自由地从矿粉仓中流出，其质量要求要符合《公路沥青路面施工技术规范》（JTG F40-2017）中表4.10.1的规定见下表：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5"/>
        <w:gridCol w:w="3411"/>
        <w:gridCol w:w="2214"/>
      </w:tblGrid>
      <w:tr w14:paraId="55E6F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840" w:type="dxa"/>
            <w:gridSpan w:val="3"/>
            <w:tcBorders>
              <w:top w:val="nil"/>
              <w:left w:val="nil"/>
              <w:bottom w:val="single" w:color="auto" w:sz="12" w:space="0"/>
              <w:right w:val="nil"/>
            </w:tcBorders>
            <w:noWrap/>
          </w:tcPr>
          <w:p w14:paraId="0083E0CC">
            <w:pPr>
              <w:keepNext w:val="0"/>
              <w:keepLines w:val="0"/>
              <w:pageBreakBefore w:val="0"/>
              <w:tabs>
                <w:tab w:val="left" w:pos="10440"/>
              </w:tabs>
              <w:kinsoku/>
              <w:wordWrap/>
              <w:overflowPunct/>
              <w:topLinePunct w:val="0"/>
              <w:autoSpaceDE/>
              <w:autoSpaceDN/>
              <w:bidi w:val="0"/>
              <w:adjustRightInd w:val="0"/>
              <w:snapToGrid/>
              <w:spacing w:line="288" w:lineRule="auto"/>
              <w:jc w:val="center"/>
              <w:textAlignment w:val="auto"/>
              <w:rPr>
                <w:rFonts w:ascii="宋体" w:hAnsi="宋体"/>
                <w:bCs/>
                <w:sz w:val="24"/>
              </w:rPr>
            </w:pPr>
            <w:r>
              <w:rPr>
                <w:rFonts w:hint="eastAsia" w:ascii="宋体" w:hAnsi="宋体"/>
                <w:bCs/>
                <w:sz w:val="24"/>
              </w:rPr>
              <w:t>沥青路面用矿粉的质量技术要求</w:t>
            </w:r>
          </w:p>
        </w:tc>
      </w:tr>
      <w:tr w14:paraId="538ED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15" w:type="dxa"/>
            <w:tcBorders>
              <w:top w:val="single" w:color="auto" w:sz="12" w:space="0"/>
              <w:left w:val="single" w:color="auto" w:sz="12" w:space="0"/>
              <w:bottom w:val="single" w:color="auto" w:sz="6" w:space="0"/>
              <w:right w:val="single" w:color="auto" w:sz="6" w:space="0"/>
            </w:tcBorders>
            <w:noWrap/>
            <w:vAlign w:val="center"/>
          </w:tcPr>
          <w:p w14:paraId="68A5E233">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视密度</w:t>
            </w:r>
          </w:p>
        </w:tc>
        <w:tc>
          <w:tcPr>
            <w:tcW w:w="3411" w:type="dxa"/>
            <w:tcBorders>
              <w:top w:val="single" w:color="auto" w:sz="12" w:space="0"/>
              <w:left w:val="single" w:color="auto" w:sz="6" w:space="0"/>
              <w:bottom w:val="single" w:color="auto" w:sz="6" w:space="0"/>
              <w:right w:val="single" w:color="auto" w:sz="6" w:space="0"/>
            </w:tcBorders>
            <w:vAlign w:val="center"/>
          </w:tcPr>
          <w:p w14:paraId="1DEC14BE">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不小于(t/ m</w:t>
            </w:r>
            <w:r>
              <w:rPr>
                <w:rFonts w:hint="eastAsia"/>
                <w:sz w:val="24"/>
                <w:vertAlign w:val="superscript"/>
              </w:rPr>
              <w:t>3</w:t>
            </w:r>
            <w:r>
              <w:rPr>
                <w:rFonts w:hint="eastAsia"/>
                <w:sz w:val="24"/>
              </w:rPr>
              <w:t>)</w:t>
            </w:r>
          </w:p>
        </w:tc>
        <w:tc>
          <w:tcPr>
            <w:tcW w:w="2214" w:type="dxa"/>
            <w:tcBorders>
              <w:top w:val="single" w:color="auto" w:sz="12" w:space="0"/>
              <w:left w:val="single" w:color="auto" w:sz="6" w:space="0"/>
              <w:bottom w:val="single" w:color="auto" w:sz="6" w:space="0"/>
              <w:right w:val="single" w:color="auto" w:sz="12" w:space="0"/>
            </w:tcBorders>
            <w:noWrap/>
            <w:vAlign w:val="center"/>
          </w:tcPr>
          <w:p w14:paraId="36B1DEA8">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2.45</w:t>
            </w:r>
          </w:p>
        </w:tc>
      </w:tr>
      <w:tr w14:paraId="73926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15" w:type="dxa"/>
            <w:tcBorders>
              <w:top w:val="single" w:color="auto" w:sz="6" w:space="0"/>
              <w:left w:val="single" w:color="auto" w:sz="12" w:space="0"/>
              <w:bottom w:val="single" w:color="auto" w:sz="6" w:space="0"/>
              <w:right w:val="single" w:color="auto" w:sz="6" w:space="0"/>
            </w:tcBorders>
            <w:noWrap/>
            <w:vAlign w:val="center"/>
          </w:tcPr>
          <w:p w14:paraId="66F90016">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含水量</w:t>
            </w:r>
          </w:p>
        </w:tc>
        <w:tc>
          <w:tcPr>
            <w:tcW w:w="3411" w:type="dxa"/>
            <w:tcBorders>
              <w:top w:val="single" w:color="auto" w:sz="6" w:space="0"/>
              <w:left w:val="single" w:color="auto" w:sz="6" w:space="0"/>
              <w:bottom w:val="single" w:color="auto" w:sz="6" w:space="0"/>
              <w:right w:val="single" w:color="auto" w:sz="6" w:space="0"/>
            </w:tcBorders>
            <w:vAlign w:val="center"/>
          </w:tcPr>
          <w:p w14:paraId="2A9A21F2">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不大于(%)</w:t>
            </w:r>
          </w:p>
        </w:tc>
        <w:tc>
          <w:tcPr>
            <w:tcW w:w="2214" w:type="dxa"/>
            <w:tcBorders>
              <w:top w:val="single" w:color="auto" w:sz="6" w:space="0"/>
              <w:left w:val="single" w:color="auto" w:sz="6" w:space="0"/>
              <w:bottom w:val="single" w:color="auto" w:sz="6" w:space="0"/>
              <w:right w:val="single" w:color="auto" w:sz="12" w:space="0"/>
            </w:tcBorders>
            <w:noWrap/>
            <w:vAlign w:val="center"/>
          </w:tcPr>
          <w:p w14:paraId="4692F698">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1</w:t>
            </w:r>
          </w:p>
        </w:tc>
      </w:tr>
      <w:tr w14:paraId="7966D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15" w:type="dxa"/>
            <w:vMerge w:val="restart"/>
            <w:tcBorders>
              <w:top w:val="single" w:color="auto" w:sz="6" w:space="0"/>
              <w:left w:val="single" w:color="auto" w:sz="12" w:space="0"/>
              <w:bottom w:val="single" w:color="auto" w:sz="6" w:space="0"/>
              <w:right w:val="single" w:color="auto" w:sz="6" w:space="0"/>
            </w:tcBorders>
            <w:noWrap/>
            <w:vAlign w:val="center"/>
          </w:tcPr>
          <w:p w14:paraId="5CCF5286">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粒度范围</w:t>
            </w:r>
          </w:p>
        </w:tc>
        <w:tc>
          <w:tcPr>
            <w:tcW w:w="3411" w:type="dxa"/>
            <w:tcBorders>
              <w:top w:val="single" w:color="auto" w:sz="6" w:space="0"/>
              <w:left w:val="single" w:color="auto" w:sz="6" w:space="0"/>
              <w:bottom w:val="single" w:color="auto" w:sz="6" w:space="0"/>
              <w:right w:val="single" w:color="auto" w:sz="6" w:space="0"/>
            </w:tcBorders>
            <w:vAlign w:val="center"/>
          </w:tcPr>
          <w:p w14:paraId="038567D9">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&lt;0.6mm    (%)</w:t>
            </w:r>
          </w:p>
        </w:tc>
        <w:tc>
          <w:tcPr>
            <w:tcW w:w="2214" w:type="dxa"/>
            <w:tcBorders>
              <w:top w:val="single" w:color="auto" w:sz="6" w:space="0"/>
              <w:left w:val="single" w:color="auto" w:sz="6" w:space="0"/>
              <w:bottom w:val="single" w:color="auto" w:sz="6" w:space="0"/>
              <w:right w:val="single" w:color="auto" w:sz="12" w:space="0"/>
            </w:tcBorders>
            <w:noWrap/>
            <w:vAlign w:val="center"/>
          </w:tcPr>
          <w:p w14:paraId="5C1A0750">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100</w:t>
            </w:r>
          </w:p>
        </w:tc>
      </w:tr>
      <w:tr w14:paraId="08E18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15" w:type="dxa"/>
            <w:vMerge w:val="continue"/>
            <w:tcBorders>
              <w:top w:val="single" w:color="auto" w:sz="6" w:space="0"/>
              <w:left w:val="single" w:color="auto" w:sz="12" w:space="0"/>
              <w:bottom w:val="single" w:color="auto" w:sz="6" w:space="0"/>
              <w:right w:val="single" w:color="auto" w:sz="6" w:space="0"/>
            </w:tcBorders>
            <w:vAlign w:val="center"/>
          </w:tcPr>
          <w:p w14:paraId="65B18EBE">
            <w:pPr>
              <w:keepNext w:val="0"/>
              <w:keepLines w:val="0"/>
              <w:pageBreakBefore w:val="0"/>
              <w:widowControl/>
              <w:kinsoku/>
              <w:wordWrap/>
              <w:overflowPunct/>
              <w:topLinePunct w:val="0"/>
              <w:autoSpaceDE/>
              <w:autoSpaceDN/>
              <w:bidi w:val="0"/>
              <w:snapToGrid/>
              <w:spacing w:line="288" w:lineRule="auto"/>
              <w:jc w:val="center"/>
              <w:textAlignment w:val="auto"/>
              <w:rPr>
                <w:sz w:val="24"/>
              </w:rPr>
            </w:pPr>
          </w:p>
        </w:tc>
        <w:tc>
          <w:tcPr>
            <w:tcW w:w="3411" w:type="dxa"/>
            <w:tcBorders>
              <w:top w:val="single" w:color="auto" w:sz="6" w:space="0"/>
              <w:left w:val="single" w:color="auto" w:sz="6" w:space="0"/>
              <w:bottom w:val="single" w:color="auto" w:sz="6" w:space="0"/>
              <w:right w:val="single" w:color="auto" w:sz="6" w:space="0"/>
            </w:tcBorders>
            <w:vAlign w:val="center"/>
          </w:tcPr>
          <w:p w14:paraId="5CE1C901">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&lt;0.15mm   (%)</w:t>
            </w:r>
          </w:p>
        </w:tc>
        <w:tc>
          <w:tcPr>
            <w:tcW w:w="2214" w:type="dxa"/>
            <w:tcBorders>
              <w:top w:val="single" w:color="auto" w:sz="6" w:space="0"/>
              <w:left w:val="single" w:color="auto" w:sz="6" w:space="0"/>
              <w:bottom w:val="single" w:color="auto" w:sz="6" w:space="0"/>
              <w:right w:val="single" w:color="auto" w:sz="12" w:space="0"/>
            </w:tcBorders>
            <w:noWrap/>
            <w:vAlign w:val="center"/>
          </w:tcPr>
          <w:p w14:paraId="0829C2A6">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90～100</w:t>
            </w:r>
          </w:p>
        </w:tc>
      </w:tr>
      <w:tr w14:paraId="1B7EF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15" w:type="dxa"/>
            <w:vMerge w:val="continue"/>
            <w:tcBorders>
              <w:top w:val="single" w:color="auto" w:sz="6" w:space="0"/>
              <w:left w:val="single" w:color="auto" w:sz="12" w:space="0"/>
              <w:bottom w:val="single" w:color="auto" w:sz="6" w:space="0"/>
              <w:right w:val="single" w:color="auto" w:sz="6" w:space="0"/>
            </w:tcBorders>
            <w:vAlign w:val="center"/>
          </w:tcPr>
          <w:p w14:paraId="70CEB459">
            <w:pPr>
              <w:keepNext w:val="0"/>
              <w:keepLines w:val="0"/>
              <w:pageBreakBefore w:val="0"/>
              <w:widowControl/>
              <w:kinsoku/>
              <w:wordWrap/>
              <w:overflowPunct/>
              <w:topLinePunct w:val="0"/>
              <w:autoSpaceDE/>
              <w:autoSpaceDN/>
              <w:bidi w:val="0"/>
              <w:snapToGrid/>
              <w:spacing w:line="288" w:lineRule="auto"/>
              <w:jc w:val="center"/>
              <w:textAlignment w:val="auto"/>
              <w:rPr>
                <w:sz w:val="24"/>
              </w:rPr>
            </w:pPr>
          </w:p>
        </w:tc>
        <w:tc>
          <w:tcPr>
            <w:tcW w:w="3411" w:type="dxa"/>
            <w:tcBorders>
              <w:top w:val="single" w:color="auto" w:sz="6" w:space="0"/>
              <w:left w:val="single" w:color="auto" w:sz="6" w:space="0"/>
              <w:bottom w:val="single" w:color="auto" w:sz="6" w:space="0"/>
              <w:right w:val="single" w:color="auto" w:sz="6" w:space="0"/>
            </w:tcBorders>
            <w:vAlign w:val="center"/>
          </w:tcPr>
          <w:p w14:paraId="6BEC32AC">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&lt;0.075mm  (%)</w:t>
            </w:r>
          </w:p>
        </w:tc>
        <w:tc>
          <w:tcPr>
            <w:tcW w:w="2214" w:type="dxa"/>
            <w:tcBorders>
              <w:top w:val="single" w:color="auto" w:sz="6" w:space="0"/>
              <w:left w:val="single" w:color="auto" w:sz="6" w:space="0"/>
              <w:bottom w:val="single" w:color="auto" w:sz="6" w:space="0"/>
              <w:right w:val="single" w:color="auto" w:sz="12" w:space="0"/>
            </w:tcBorders>
            <w:noWrap/>
            <w:vAlign w:val="center"/>
          </w:tcPr>
          <w:p w14:paraId="2473C3CC">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70～100</w:t>
            </w:r>
          </w:p>
        </w:tc>
      </w:tr>
      <w:tr w14:paraId="5260D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15" w:type="dxa"/>
            <w:tcBorders>
              <w:top w:val="single" w:color="auto" w:sz="6" w:space="0"/>
              <w:left w:val="single" w:color="auto" w:sz="12" w:space="0"/>
              <w:bottom w:val="single" w:color="auto" w:sz="6" w:space="0"/>
              <w:right w:val="single" w:color="auto" w:sz="6" w:space="0"/>
            </w:tcBorders>
            <w:noWrap/>
            <w:vAlign w:val="center"/>
          </w:tcPr>
          <w:p w14:paraId="0724E549">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外观</w:t>
            </w:r>
          </w:p>
        </w:tc>
        <w:tc>
          <w:tcPr>
            <w:tcW w:w="3411" w:type="dxa"/>
            <w:tcBorders>
              <w:top w:val="single" w:color="auto" w:sz="6" w:space="0"/>
              <w:left w:val="single" w:color="auto" w:sz="6" w:space="0"/>
              <w:bottom w:val="single" w:color="auto" w:sz="6" w:space="0"/>
              <w:right w:val="single" w:color="auto" w:sz="6" w:space="0"/>
            </w:tcBorders>
            <w:vAlign w:val="center"/>
          </w:tcPr>
          <w:p w14:paraId="6C11DBF4">
            <w:pPr>
              <w:keepNext w:val="0"/>
              <w:keepLines w:val="0"/>
              <w:pageBreakBefore w:val="0"/>
              <w:widowControl/>
              <w:kinsoku/>
              <w:wordWrap/>
              <w:overflowPunct/>
              <w:topLinePunct w:val="0"/>
              <w:autoSpaceDE/>
              <w:autoSpaceDN/>
              <w:bidi w:val="0"/>
              <w:snapToGrid/>
              <w:spacing w:line="288" w:lineRule="auto"/>
              <w:jc w:val="center"/>
              <w:textAlignment w:val="auto"/>
              <w:rPr>
                <w:sz w:val="24"/>
              </w:rPr>
            </w:pPr>
          </w:p>
        </w:tc>
        <w:tc>
          <w:tcPr>
            <w:tcW w:w="2214" w:type="dxa"/>
            <w:tcBorders>
              <w:top w:val="single" w:color="auto" w:sz="6" w:space="0"/>
              <w:left w:val="single" w:color="auto" w:sz="6" w:space="0"/>
              <w:bottom w:val="single" w:color="auto" w:sz="6" w:space="0"/>
              <w:right w:val="single" w:color="auto" w:sz="12" w:space="0"/>
            </w:tcBorders>
            <w:noWrap/>
            <w:vAlign w:val="center"/>
          </w:tcPr>
          <w:p w14:paraId="032FC2B3">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无团粒结块</w:t>
            </w:r>
          </w:p>
        </w:tc>
      </w:tr>
      <w:tr w14:paraId="6FCBE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15" w:type="dxa"/>
            <w:tcBorders>
              <w:top w:val="single" w:color="auto" w:sz="6" w:space="0"/>
              <w:left w:val="single" w:color="auto" w:sz="12" w:space="0"/>
              <w:bottom w:val="single" w:color="auto" w:sz="6" w:space="0"/>
              <w:right w:val="single" w:color="auto" w:sz="6" w:space="0"/>
            </w:tcBorders>
            <w:noWrap/>
            <w:vAlign w:val="center"/>
          </w:tcPr>
          <w:p w14:paraId="69A34446">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亲水系数</w:t>
            </w:r>
          </w:p>
        </w:tc>
        <w:tc>
          <w:tcPr>
            <w:tcW w:w="3411" w:type="dxa"/>
            <w:tcBorders>
              <w:top w:val="single" w:color="auto" w:sz="6" w:space="0"/>
              <w:left w:val="single" w:color="auto" w:sz="6" w:space="0"/>
              <w:bottom w:val="single" w:color="auto" w:sz="6" w:space="0"/>
              <w:right w:val="single" w:color="auto" w:sz="6" w:space="0"/>
            </w:tcBorders>
            <w:vAlign w:val="center"/>
          </w:tcPr>
          <w:p w14:paraId="7DDCCFA2">
            <w:pPr>
              <w:keepNext w:val="0"/>
              <w:keepLines w:val="0"/>
              <w:pageBreakBefore w:val="0"/>
              <w:widowControl/>
              <w:kinsoku/>
              <w:wordWrap/>
              <w:overflowPunct/>
              <w:topLinePunct w:val="0"/>
              <w:autoSpaceDE/>
              <w:autoSpaceDN/>
              <w:bidi w:val="0"/>
              <w:snapToGrid/>
              <w:spacing w:line="288" w:lineRule="auto"/>
              <w:jc w:val="center"/>
              <w:textAlignment w:val="auto"/>
              <w:rPr>
                <w:sz w:val="24"/>
              </w:rPr>
            </w:pPr>
          </w:p>
        </w:tc>
        <w:tc>
          <w:tcPr>
            <w:tcW w:w="2214" w:type="dxa"/>
            <w:tcBorders>
              <w:top w:val="single" w:color="auto" w:sz="6" w:space="0"/>
              <w:left w:val="single" w:color="auto" w:sz="6" w:space="0"/>
              <w:bottom w:val="single" w:color="auto" w:sz="6" w:space="0"/>
              <w:right w:val="single" w:color="auto" w:sz="12" w:space="0"/>
            </w:tcBorders>
            <w:noWrap/>
            <w:vAlign w:val="center"/>
          </w:tcPr>
          <w:p w14:paraId="788D3E55">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&lt;1</w:t>
            </w:r>
          </w:p>
        </w:tc>
      </w:tr>
      <w:tr w14:paraId="141B8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15" w:type="dxa"/>
            <w:tcBorders>
              <w:top w:val="single" w:color="auto" w:sz="6" w:space="0"/>
              <w:left w:val="single" w:color="auto" w:sz="12" w:space="0"/>
              <w:bottom w:val="single" w:color="auto" w:sz="6" w:space="0"/>
              <w:right w:val="single" w:color="auto" w:sz="6" w:space="0"/>
            </w:tcBorders>
            <w:noWrap/>
            <w:vAlign w:val="center"/>
          </w:tcPr>
          <w:p w14:paraId="78EE3787">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塑性指数</w:t>
            </w:r>
          </w:p>
        </w:tc>
        <w:tc>
          <w:tcPr>
            <w:tcW w:w="3411" w:type="dxa"/>
            <w:tcBorders>
              <w:top w:val="single" w:color="auto" w:sz="6" w:space="0"/>
              <w:left w:val="single" w:color="auto" w:sz="6" w:space="0"/>
              <w:bottom w:val="single" w:color="auto" w:sz="6" w:space="0"/>
              <w:right w:val="single" w:color="auto" w:sz="6" w:space="0"/>
            </w:tcBorders>
            <w:vAlign w:val="center"/>
          </w:tcPr>
          <w:p w14:paraId="15A161D9">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w:t>
            </w:r>
          </w:p>
        </w:tc>
        <w:tc>
          <w:tcPr>
            <w:tcW w:w="2214" w:type="dxa"/>
            <w:tcBorders>
              <w:top w:val="single" w:color="auto" w:sz="6" w:space="0"/>
              <w:left w:val="single" w:color="auto" w:sz="6" w:space="0"/>
              <w:bottom w:val="single" w:color="auto" w:sz="6" w:space="0"/>
              <w:right w:val="single" w:color="auto" w:sz="12" w:space="0"/>
            </w:tcBorders>
            <w:noWrap/>
            <w:vAlign w:val="center"/>
          </w:tcPr>
          <w:p w14:paraId="52C4461B">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&lt;4</w:t>
            </w:r>
          </w:p>
        </w:tc>
      </w:tr>
      <w:tr w14:paraId="21557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15" w:type="dxa"/>
            <w:tcBorders>
              <w:top w:val="single" w:color="auto" w:sz="6" w:space="0"/>
              <w:left w:val="single" w:color="auto" w:sz="12" w:space="0"/>
              <w:bottom w:val="single" w:color="auto" w:sz="12" w:space="0"/>
              <w:right w:val="single" w:color="auto" w:sz="6" w:space="0"/>
            </w:tcBorders>
            <w:noWrap/>
            <w:vAlign w:val="center"/>
          </w:tcPr>
          <w:p w14:paraId="7A7AE78B">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加热安定性</w:t>
            </w:r>
          </w:p>
        </w:tc>
        <w:tc>
          <w:tcPr>
            <w:tcW w:w="3411" w:type="dxa"/>
            <w:tcBorders>
              <w:top w:val="single" w:color="auto" w:sz="6" w:space="0"/>
              <w:left w:val="single" w:color="auto" w:sz="6" w:space="0"/>
              <w:bottom w:val="single" w:color="auto" w:sz="12" w:space="0"/>
              <w:right w:val="single" w:color="auto" w:sz="6" w:space="0"/>
            </w:tcBorders>
            <w:vAlign w:val="center"/>
          </w:tcPr>
          <w:p w14:paraId="595F2E0D">
            <w:pPr>
              <w:keepNext w:val="0"/>
              <w:keepLines w:val="0"/>
              <w:pageBreakBefore w:val="0"/>
              <w:widowControl/>
              <w:kinsoku/>
              <w:wordWrap/>
              <w:overflowPunct/>
              <w:topLinePunct w:val="0"/>
              <w:autoSpaceDE/>
              <w:autoSpaceDN/>
              <w:bidi w:val="0"/>
              <w:snapToGrid/>
              <w:spacing w:line="288" w:lineRule="auto"/>
              <w:jc w:val="center"/>
              <w:textAlignment w:val="auto"/>
              <w:rPr>
                <w:sz w:val="24"/>
              </w:rPr>
            </w:pPr>
          </w:p>
        </w:tc>
        <w:tc>
          <w:tcPr>
            <w:tcW w:w="2214" w:type="dxa"/>
            <w:tcBorders>
              <w:top w:val="single" w:color="auto" w:sz="6" w:space="0"/>
              <w:left w:val="single" w:color="auto" w:sz="6" w:space="0"/>
              <w:bottom w:val="single" w:color="auto" w:sz="12" w:space="0"/>
              <w:right w:val="single" w:color="auto" w:sz="12" w:space="0"/>
            </w:tcBorders>
            <w:noWrap/>
            <w:vAlign w:val="center"/>
          </w:tcPr>
          <w:p w14:paraId="2066FE1F">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实测记录</w:t>
            </w:r>
          </w:p>
        </w:tc>
      </w:tr>
    </w:tbl>
    <w:p w14:paraId="2E00472D">
      <w:pPr>
        <w:keepNext w:val="0"/>
        <w:keepLines w:val="0"/>
        <w:pageBreakBefore w:val="0"/>
        <w:kinsoku/>
        <w:wordWrap/>
        <w:overflowPunct/>
        <w:topLinePunct w:val="0"/>
        <w:autoSpaceDE/>
        <w:autoSpaceDN/>
        <w:bidi w:val="0"/>
        <w:snapToGrid/>
        <w:spacing w:line="288" w:lineRule="auto"/>
        <w:ind w:firstLine="482" w:firstLineChars="200"/>
        <w:textAlignment w:val="auto"/>
        <w:rPr>
          <w:rFonts w:ascii="宋体" w:hAnsi="宋体" w:cs="宋体"/>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cs="宋体"/>
          <w:b/>
          <w:bCs/>
          <w:sz w:val="24"/>
        </w:rPr>
        <w:t>.</w:t>
      </w:r>
      <w:r>
        <w:rPr>
          <w:rFonts w:ascii="宋体" w:hAnsi="宋体" w:cs="宋体"/>
          <w:b/>
          <w:bCs/>
          <w:sz w:val="24"/>
        </w:rPr>
        <w:t xml:space="preserve">5 </w:t>
      </w:r>
      <w:r>
        <w:rPr>
          <w:rFonts w:hint="eastAsia" w:ascii="宋体" w:hAnsi="宋体" w:cs="宋体"/>
          <w:sz w:val="24"/>
        </w:rPr>
        <w:t>沥青混合料的配合比设计</w:t>
      </w:r>
    </w:p>
    <w:p w14:paraId="13B4FC89">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应通过热拌沥青混合料的目标配合比、生产配合比及生产配合比验证三个阶段，确定矿料级配及最佳沥青用量。面层沥青混凝土混合料的矿料级配在规范的基础上进行调整，使级配形成“</w:t>
      </w:r>
      <w:r>
        <w:rPr>
          <w:rFonts w:ascii="宋体" w:hAnsi="宋体" w:cs="宋体"/>
          <w:sz w:val="24"/>
        </w:rPr>
        <w:t>S</w:t>
      </w:r>
      <w:r>
        <w:rPr>
          <w:rFonts w:hint="eastAsia" w:ascii="宋体" w:hAnsi="宋体" w:cs="宋体"/>
          <w:sz w:val="24"/>
        </w:rPr>
        <w:t>”型曲线，有利于提高沥青混凝土的性能。推荐的混合料级配见下表。</w:t>
      </w:r>
    </w:p>
    <w:p w14:paraId="6234C2D2">
      <w:pPr>
        <w:keepNext w:val="0"/>
        <w:keepLines w:val="0"/>
        <w:pageBreakBefore w:val="0"/>
        <w:kinsoku/>
        <w:wordWrap/>
        <w:overflowPunct/>
        <w:topLinePunct w:val="0"/>
        <w:autoSpaceDE/>
        <w:autoSpaceDN/>
        <w:bidi w:val="0"/>
        <w:snapToGrid/>
        <w:spacing w:line="288" w:lineRule="auto"/>
        <w:ind w:firstLine="200" w:firstLineChars="200"/>
        <w:jc w:val="center"/>
        <w:textAlignment w:val="auto"/>
        <w:rPr>
          <w:rFonts w:ascii="宋体" w:hAnsi="宋体"/>
          <w:sz w:val="10"/>
          <w:szCs w:val="10"/>
        </w:rPr>
      </w:pPr>
    </w:p>
    <w:p w14:paraId="5FCFBD9F">
      <w:pPr>
        <w:keepNext w:val="0"/>
        <w:keepLines w:val="0"/>
        <w:pageBreakBefore w:val="0"/>
        <w:kinsoku/>
        <w:wordWrap/>
        <w:overflowPunct/>
        <w:topLinePunct w:val="0"/>
        <w:autoSpaceDE/>
        <w:autoSpaceDN/>
        <w:bidi w:val="0"/>
        <w:snapToGrid/>
        <w:spacing w:line="288" w:lineRule="auto"/>
        <w:ind w:firstLine="480" w:firstLineChars="200"/>
        <w:jc w:val="center"/>
        <w:textAlignment w:val="auto"/>
        <w:rPr>
          <w:rFonts w:ascii="宋体" w:hAnsi="宋体"/>
          <w:bCs/>
          <w:sz w:val="24"/>
        </w:rPr>
      </w:pPr>
      <w:r>
        <w:rPr>
          <w:rFonts w:hint="eastAsia" w:ascii="宋体" w:hAnsi="宋体"/>
          <w:bCs/>
          <w:sz w:val="24"/>
        </w:rPr>
        <w:t>沥青混合料级配</w:t>
      </w:r>
    </w:p>
    <w:tbl>
      <w:tblPr>
        <w:tblStyle w:val="8"/>
        <w:tblW w:w="79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985"/>
        <w:gridCol w:w="1985"/>
        <w:gridCol w:w="1985"/>
        <w:gridCol w:w="1985"/>
      </w:tblGrid>
      <w:tr w14:paraId="0D3BF0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3970" w:type="dxa"/>
            <w:gridSpan w:val="2"/>
            <w:shd w:val="clear" w:color="auto" w:fill="auto"/>
            <w:noWrap/>
            <w:vAlign w:val="center"/>
          </w:tcPr>
          <w:p w14:paraId="36395ED8">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沥青混合料级配类型</w:t>
            </w:r>
          </w:p>
        </w:tc>
        <w:tc>
          <w:tcPr>
            <w:tcW w:w="1985" w:type="dxa"/>
            <w:vAlign w:val="center"/>
          </w:tcPr>
          <w:p w14:paraId="1051953B">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AC-13</w:t>
            </w:r>
          </w:p>
        </w:tc>
        <w:tc>
          <w:tcPr>
            <w:tcW w:w="1985" w:type="dxa"/>
            <w:shd w:val="clear" w:color="auto" w:fill="auto"/>
            <w:noWrap/>
            <w:vAlign w:val="center"/>
          </w:tcPr>
          <w:p w14:paraId="12D692CA">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AC-</w:t>
            </w:r>
            <w:r>
              <w:rPr>
                <w:sz w:val="24"/>
              </w:rPr>
              <w:t>16</w:t>
            </w:r>
          </w:p>
        </w:tc>
      </w:tr>
      <w:tr w14:paraId="6EF905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985" w:type="dxa"/>
            <w:vMerge w:val="restart"/>
            <w:shd w:val="clear" w:color="auto" w:fill="auto"/>
            <w:noWrap/>
            <w:vAlign w:val="center"/>
          </w:tcPr>
          <w:p w14:paraId="128BE712">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通过下列</w:t>
            </w:r>
          </w:p>
          <w:p w14:paraId="543D847A">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方孔筛(mm)</w:t>
            </w:r>
          </w:p>
          <w:p w14:paraId="79BE57DB">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重量百分率(%)</w:t>
            </w:r>
          </w:p>
        </w:tc>
        <w:tc>
          <w:tcPr>
            <w:tcW w:w="1985" w:type="dxa"/>
            <w:shd w:val="clear" w:color="auto" w:fill="auto"/>
            <w:vAlign w:val="center"/>
          </w:tcPr>
          <w:p w14:paraId="3DAB6BFC">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19</w:t>
            </w:r>
          </w:p>
        </w:tc>
        <w:tc>
          <w:tcPr>
            <w:tcW w:w="1985" w:type="dxa"/>
            <w:vAlign w:val="center"/>
          </w:tcPr>
          <w:p w14:paraId="5D9849EE">
            <w:pPr>
              <w:keepNext w:val="0"/>
              <w:keepLines w:val="0"/>
              <w:pageBreakBefore w:val="0"/>
              <w:widowControl/>
              <w:kinsoku/>
              <w:wordWrap/>
              <w:overflowPunct/>
              <w:topLinePunct w:val="0"/>
              <w:autoSpaceDE/>
              <w:autoSpaceDN/>
              <w:bidi w:val="0"/>
              <w:snapToGrid/>
              <w:spacing w:line="288" w:lineRule="auto"/>
              <w:jc w:val="center"/>
              <w:textAlignment w:val="auto"/>
              <w:rPr>
                <w:sz w:val="24"/>
              </w:rPr>
            </w:pPr>
          </w:p>
        </w:tc>
        <w:tc>
          <w:tcPr>
            <w:tcW w:w="1985" w:type="dxa"/>
            <w:shd w:val="clear" w:color="auto" w:fill="auto"/>
            <w:vAlign w:val="center"/>
          </w:tcPr>
          <w:p w14:paraId="5274F1E8">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100</w:t>
            </w:r>
          </w:p>
        </w:tc>
      </w:tr>
      <w:tr w14:paraId="5A4F5A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985" w:type="dxa"/>
            <w:vMerge w:val="continue"/>
            <w:shd w:val="clear" w:color="auto" w:fill="auto"/>
            <w:noWrap/>
            <w:vAlign w:val="center"/>
          </w:tcPr>
          <w:p w14:paraId="61E0A94E">
            <w:pPr>
              <w:keepNext w:val="0"/>
              <w:keepLines w:val="0"/>
              <w:pageBreakBefore w:val="0"/>
              <w:widowControl/>
              <w:kinsoku/>
              <w:wordWrap/>
              <w:overflowPunct/>
              <w:topLinePunct w:val="0"/>
              <w:autoSpaceDE/>
              <w:autoSpaceDN/>
              <w:bidi w:val="0"/>
              <w:snapToGrid/>
              <w:spacing w:line="288" w:lineRule="auto"/>
              <w:jc w:val="center"/>
              <w:textAlignment w:val="auto"/>
              <w:rPr>
                <w:sz w:val="24"/>
              </w:rPr>
            </w:pPr>
          </w:p>
        </w:tc>
        <w:tc>
          <w:tcPr>
            <w:tcW w:w="1985" w:type="dxa"/>
            <w:shd w:val="clear" w:color="auto" w:fill="auto"/>
            <w:noWrap/>
            <w:vAlign w:val="center"/>
          </w:tcPr>
          <w:p w14:paraId="1A2DB9FF">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16</w:t>
            </w:r>
          </w:p>
        </w:tc>
        <w:tc>
          <w:tcPr>
            <w:tcW w:w="1985" w:type="dxa"/>
            <w:vAlign w:val="center"/>
          </w:tcPr>
          <w:p w14:paraId="481440C7">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100</w:t>
            </w:r>
          </w:p>
        </w:tc>
        <w:tc>
          <w:tcPr>
            <w:tcW w:w="1985" w:type="dxa"/>
            <w:shd w:val="clear" w:color="auto" w:fill="auto"/>
            <w:noWrap/>
            <w:vAlign w:val="center"/>
          </w:tcPr>
          <w:p w14:paraId="285343CA">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sz w:val="24"/>
              </w:rPr>
              <w:t>90</w:t>
            </w:r>
            <w:r>
              <w:rPr>
                <w:rFonts w:hint="eastAsia"/>
                <w:sz w:val="24"/>
              </w:rPr>
              <w:t>～</w:t>
            </w:r>
            <w:r>
              <w:rPr>
                <w:sz w:val="24"/>
              </w:rPr>
              <w:t>100</w:t>
            </w:r>
          </w:p>
        </w:tc>
      </w:tr>
      <w:tr w14:paraId="4E0A7B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985" w:type="dxa"/>
            <w:vMerge w:val="continue"/>
            <w:shd w:val="clear" w:color="auto" w:fill="auto"/>
            <w:noWrap/>
            <w:vAlign w:val="center"/>
          </w:tcPr>
          <w:p w14:paraId="54754051">
            <w:pPr>
              <w:keepNext w:val="0"/>
              <w:keepLines w:val="0"/>
              <w:pageBreakBefore w:val="0"/>
              <w:widowControl/>
              <w:kinsoku/>
              <w:wordWrap/>
              <w:overflowPunct/>
              <w:topLinePunct w:val="0"/>
              <w:autoSpaceDE/>
              <w:autoSpaceDN/>
              <w:bidi w:val="0"/>
              <w:snapToGrid/>
              <w:spacing w:line="288" w:lineRule="auto"/>
              <w:jc w:val="center"/>
              <w:textAlignment w:val="auto"/>
              <w:rPr>
                <w:sz w:val="24"/>
              </w:rPr>
            </w:pPr>
          </w:p>
        </w:tc>
        <w:tc>
          <w:tcPr>
            <w:tcW w:w="1985" w:type="dxa"/>
            <w:shd w:val="clear" w:color="auto" w:fill="auto"/>
            <w:noWrap/>
            <w:vAlign w:val="center"/>
          </w:tcPr>
          <w:p w14:paraId="3C82D41D">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13.2</w:t>
            </w:r>
          </w:p>
        </w:tc>
        <w:tc>
          <w:tcPr>
            <w:tcW w:w="1985" w:type="dxa"/>
            <w:vAlign w:val="center"/>
          </w:tcPr>
          <w:p w14:paraId="60433DEF">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90～100</w:t>
            </w:r>
          </w:p>
        </w:tc>
        <w:tc>
          <w:tcPr>
            <w:tcW w:w="1985" w:type="dxa"/>
            <w:shd w:val="clear" w:color="auto" w:fill="auto"/>
            <w:noWrap/>
            <w:vAlign w:val="center"/>
          </w:tcPr>
          <w:p w14:paraId="69F71E77">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sz w:val="24"/>
              </w:rPr>
              <w:t>76</w:t>
            </w:r>
            <w:r>
              <w:rPr>
                <w:rFonts w:hint="eastAsia"/>
                <w:sz w:val="24"/>
              </w:rPr>
              <w:t>～</w:t>
            </w:r>
            <w:r>
              <w:rPr>
                <w:sz w:val="24"/>
              </w:rPr>
              <w:t>92</w:t>
            </w:r>
          </w:p>
        </w:tc>
      </w:tr>
      <w:tr w14:paraId="7E59D6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985" w:type="dxa"/>
            <w:vMerge w:val="continue"/>
            <w:shd w:val="clear" w:color="auto" w:fill="auto"/>
            <w:noWrap/>
            <w:vAlign w:val="center"/>
          </w:tcPr>
          <w:p w14:paraId="3FFD0624">
            <w:pPr>
              <w:keepNext w:val="0"/>
              <w:keepLines w:val="0"/>
              <w:pageBreakBefore w:val="0"/>
              <w:widowControl/>
              <w:kinsoku/>
              <w:wordWrap/>
              <w:overflowPunct/>
              <w:topLinePunct w:val="0"/>
              <w:autoSpaceDE/>
              <w:autoSpaceDN/>
              <w:bidi w:val="0"/>
              <w:snapToGrid/>
              <w:spacing w:line="288" w:lineRule="auto"/>
              <w:jc w:val="center"/>
              <w:textAlignment w:val="auto"/>
              <w:rPr>
                <w:sz w:val="24"/>
              </w:rPr>
            </w:pPr>
          </w:p>
        </w:tc>
        <w:tc>
          <w:tcPr>
            <w:tcW w:w="1985" w:type="dxa"/>
            <w:shd w:val="clear" w:color="auto" w:fill="auto"/>
            <w:noWrap/>
            <w:vAlign w:val="center"/>
          </w:tcPr>
          <w:p w14:paraId="16B072A8">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9.5</w:t>
            </w:r>
          </w:p>
        </w:tc>
        <w:tc>
          <w:tcPr>
            <w:tcW w:w="1985" w:type="dxa"/>
            <w:vAlign w:val="center"/>
          </w:tcPr>
          <w:p w14:paraId="31762294">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68～85</w:t>
            </w:r>
          </w:p>
        </w:tc>
        <w:tc>
          <w:tcPr>
            <w:tcW w:w="1985" w:type="dxa"/>
            <w:shd w:val="clear" w:color="auto" w:fill="auto"/>
            <w:noWrap/>
            <w:vAlign w:val="center"/>
          </w:tcPr>
          <w:p w14:paraId="02567008">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sz w:val="24"/>
              </w:rPr>
              <w:t>60</w:t>
            </w:r>
            <w:r>
              <w:rPr>
                <w:rFonts w:hint="eastAsia"/>
                <w:sz w:val="24"/>
              </w:rPr>
              <w:t>～</w:t>
            </w:r>
            <w:r>
              <w:rPr>
                <w:sz w:val="24"/>
              </w:rPr>
              <w:t>80</w:t>
            </w:r>
          </w:p>
        </w:tc>
      </w:tr>
      <w:tr w14:paraId="7FB7A6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985" w:type="dxa"/>
            <w:vMerge w:val="continue"/>
            <w:shd w:val="clear" w:color="auto" w:fill="auto"/>
            <w:noWrap/>
            <w:vAlign w:val="center"/>
          </w:tcPr>
          <w:p w14:paraId="2BF0DD9F">
            <w:pPr>
              <w:keepNext w:val="0"/>
              <w:keepLines w:val="0"/>
              <w:pageBreakBefore w:val="0"/>
              <w:widowControl/>
              <w:kinsoku/>
              <w:wordWrap/>
              <w:overflowPunct/>
              <w:topLinePunct w:val="0"/>
              <w:autoSpaceDE/>
              <w:autoSpaceDN/>
              <w:bidi w:val="0"/>
              <w:snapToGrid/>
              <w:spacing w:line="288" w:lineRule="auto"/>
              <w:jc w:val="center"/>
              <w:textAlignment w:val="auto"/>
              <w:rPr>
                <w:sz w:val="24"/>
              </w:rPr>
            </w:pPr>
          </w:p>
        </w:tc>
        <w:tc>
          <w:tcPr>
            <w:tcW w:w="1985" w:type="dxa"/>
            <w:shd w:val="clear" w:color="auto" w:fill="auto"/>
            <w:noWrap/>
            <w:vAlign w:val="center"/>
          </w:tcPr>
          <w:p w14:paraId="4071F734">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4.75</w:t>
            </w:r>
          </w:p>
        </w:tc>
        <w:tc>
          <w:tcPr>
            <w:tcW w:w="1985" w:type="dxa"/>
            <w:vAlign w:val="center"/>
          </w:tcPr>
          <w:p w14:paraId="5C3F19C1">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38～68</w:t>
            </w:r>
          </w:p>
        </w:tc>
        <w:tc>
          <w:tcPr>
            <w:tcW w:w="1985" w:type="dxa"/>
            <w:shd w:val="clear" w:color="auto" w:fill="auto"/>
            <w:noWrap/>
            <w:vAlign w:val="center"/>
          </w:tcPr>
          <w:p w14:paraId="1C70A052">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sz w:val="24"/>
              </w:rPr>
              <w:t>34</w:t>
            </w:r>
            <w:r>
              <w:rPr>
                <w:rFonts w:hint="eastAsia"/>
                <w:sz w:val="24"/>
              </w:rPr>
              <w:t>～</w:t>
            </w:r>
            <w:r>
              <w:rPr>
                <w:sz w:val="24"/>
              </w:rPr>
              <w:t>62</w:t>
            </w:r>
          </w:p>
        </w:tc>
      </w:tr>
      <w:tr w14:paraId="45D5B2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985" w:type="dxa"/>
            <w:vMerge w:val="continue"/>
            <w:shd w:val="clear" w:color="auto" w:fill="auto"/>
            <w:noWrap/>
            <w:vAlign w:val="center"/>
          </w:tcPr>
          <w:p w14:paraId="7AB6BC3B">
            <w:pPr>
              <w:keepNext w:val="0"/>
              <w:keepLines w:val="0"/>
              <w:pageBreakBefore w:val="0"/>
              <w:widowControl/>
              <w:kinsoku/>
              <w:wordWrap/>
              <w:overflowPunct/>
              <w:topLinePunct w:val="0"/>
              <w:autoSpaceDE/>
              <w:autoSpaceDN/>
              <w:bidi w:val="0"/>
              <w:snapToGrid/>
              <w:spacing w:line="288" w:lineRule="auto"/>
              <w:jc w:val="center"/>
              <w:textAlignment w:val="auto"/>
              <w:rPr>
                <w:sz w:val="24"/>
              </w:rPr>
            </w:pPr>
          </w:p>
        </w:tc>
        <w:tc>
          <w:tcPr>
            <w:tcW w:w="1985" w:type="dxa"/>
            <w:shd w:val="clear" w:color="auto" w:fill="auto"/>
            <w:noWrap/>
            <w:vAlign w:val="center"/>
          </w:tcPr>
          <w:p w14:paraId="4C78853A">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2.36</w:t>
            </w:r>
          </w:p>
        </w:tc>
        <w:tc>
          <w:tcPr>
            <w:tcW w:w="1985" w:type="dxa"/>
            <w:vAlign w:val="center"/>
          </w:tcPr>
          <w:p w14:paraId="63A09520">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24～50</w:t>
            </w:r>
          </w:p>
        </w:tc>
        <w:tc>
          <w:tcPr>
            <w:tcW w:w="1985" w:type="dxa"/>
            <w:shd w:val="clear" w:color="auto" w:fill="auto"/>
            <w:noWrap/>
            <w:vAlign w:val="center"/>
          </w:tcPr>
          <w:p w14:paraId="31D695F6">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sz w:val="24"/>
              </w:rPr>
              <w:t>20</w:t>
            </w:r>
            <w:r>
              <w:rPr>
                <w:rFonts w:hint="eastAsia"/>
                <w:sz w:val="24"/>
              </w:rPr>
              <w:t>～</w:t>
            </w:r>
            <w:r>
              <w:rPr>
                <w:sz w:val="24"/>
              </w:rPr>
              <w:t>48</w:t>
            </w:r>
          </w:p>
        </w:tc>
      </w:tr>
      <w:tr w14:paraId="1A20C3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985" w:type="dxa"/>
            <w:vMerge w:val="continue"/>
            <w:shd w:val="clear" w:color="auto" w:fill="auto"/>
            <w:noWrap/>
            <w:vAlign w:val="center"/>
          </w:tcPr>
          <w:p w14:paraId="07E0EEF8">
            <w:pPr>
              <w:keepNext w:val="0"/>
              <w:keepLines w:val="0"/>
              <w:pageBreakBefore w:val="0"/>
              <w:widowControl/>
              <w:kinsoku/>
              <w:wordWrap/>
              <w:overflowPunct/>
              <w:topLinePunct w:val="0"/>
              <w:autoSpaceDE/>
              <w:autoSpaceDN/>
              <w:bidi w:val="0"/>
              <w:snapToGrid/>
              <w:spacing w:line="288" w:lineRule="auto"/>
              <w:jc w:val="center"/>
              <w:textAlignment w:val="auto"/>
              <w:rPr>
                <w:sz w:val="24"/>
              </w:rPr>
            </w:pPr>
          </w:p>
        </w:tc>
        <w:tc>
          <w:tcPr>
            <w:tcW w:w="1985" w:type="dxa"/>
            <w:shd w:val="clear" w:color="auto" w:fill="auto"/>
            <w:noWrap/>
            <w:vAlign w:val="center"/>
          </w:tcPr>
          <w:p w14:paraId="47D655DE">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1.18</w:t>
            </w:r>
          </w:p>
        </w:tc>
        <w:tc>
          <w:tcPr>
            <w:tcW w:w="1985" w:type="dxa"/>
            <w:vAlign w:val="center"/>
          </w:tcPr>
          <w:p w14:paraId="1429AE16">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15～38</w:t>
            </w:r>
          </w:p>
        </w:tc>
        <w:tc>
          <w:tcPr>
            <w:tcW w:w="1985" w:type="dxa"/>
            <w:shd w:val="clear" w:color="auto" w:fill="auto"/>
            <w:noWrap/>
            <w:vAlign w:val="center"/>
          </w:tcPr>
          <w:p w14:paraId="09DE8132">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sz w:val="24"/>
              </w:rPr>
              <w:t>13</w:t>
            </w:r>
            <w:r>
              <w:rPr>
                <w:rFonts w:hint="eastAsia"/>
                <w:sz w:val="24"/>
              </w:rPr>
              <w:t>～</w:t>
            </w:r>
            <w:r>
              <w:rPr>
                <w:sz w:val="24"/>
              </w:rPr>
              <w:t>36</w:t>
            </w:r>
          </w:p>
        </w:tc>
      </w:tr>
      <w:tr w14:paraId="0A94CF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985" w:type="dxa"/>
            <w:vMerge w:val="continue"/>
            <w:shd w:val="clear" w:color="auto" w:fill="auto"/>
            <w:noWrap/>
            <w:vAlign w:val="center"/>
          </w:tcPr>
          <w:p w14:paraId="3E12ECAD">
            <w:pPr>
              <w:keepNext w:val="0"/>
              <w:keepLines w:val="0"/>
              <w:pageBreakBefore w:val="0"/>
              <w:widowControl/>
              <w:kinsoku/>
              <w:wordWrap/>
              <w:overflowPunct/>
              <w:topLinePunct w:val="0"/>
              <w:autoSpaceDE/>
              <w:autoSpaceDN/>
              <w:bidi w:val="0"/>
              <w:snapToGrid/>
              <w:spacing w:line="288" w:lineRule="auto"/>
              <w:jc w:val="center"/>
              <w:textAlignment w:val="auto"/>
              <w:rPr>
                <w:sz w:val="24"/>
              </w:rPr>
            </w:pPr>
          </w:p>
        </w:tc>
        <w:tc>
          <w:tcPr>
            <w:tcW w:w="1985" w:type="dxa"/>
            <w:shd w:val="clear" w:color="auto" w:fill="auto"/>
            <w:noWrap/>
            <w:vAlign w:val="center"/>
          </w:tcPr>
          <w:p w14:paraId="107E600D">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0.6</w:t>
            </w:r>
          </w:p>
        </w:tc>
        <w:tc>
          <w:tcPr>
            <w:tcW w:w="1985" w:type="dxa"/>
            <w:vAlign w:val="center"/>
          </w:tcPr>
          <w:p w14:paraId="2B2641ED">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10～28</w:t>
            </w:r>
          </w:p>
        </w:tc>
        <w:tc>
          <w:tcPr>
            <w:tcW w:w="1985" w:type="dxa"/>
            <w:shd w:val="clear" w:color="auto" w:fill="auto"/>
            <w:noWrap/>
            <w:vAlign w:val="center"/>
          </w:tcPr>
          <w:p w14:paraId="5AA32579">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sz w:val="24"/>
              </w:rPr>
              <w:t>9</w:t>
            </w:r>
            <w:r>
              <w:rPr>
                <w:rFonts w:hint="eastAsia"/>
                <w:sz w:val="24"/>
              </w:rPr>
              <w:t>～2</w:t>
            </w:r>
            <w:r>
              <w:rPr>
                <w:sz w:val="24"/>
              </w:rPr>
              <w:t>6</w:t>
            </w:r>
          </w:p>
        </w:tc>
      </w:tr>
      <w:tr w14:paraId="475929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985" w:type="dxa"/>
            <w:vMerge w:val="continue"/>
            <w:shd w:val="clear" w:color="auto" w:fill="auto"/>
            <w:noWrap/>
            <w:vAlign w:val="center"/>
          </w:tcPr>
          <w:p w14:paraId="6F6E4DC7">
            <w:pPr>
              <w:keepNext w:val="0"/>
              <w:keepLines w:val="0"/>
              <w:pageBreakBefore w:val="0"/>
              <w:widowControl/>
              <w:kinsoku/>
              <w:wordWrap/>
              <w:overflowPunct/>
              <w:topLinePunct w:val="0"/>
              <w:autoSpaceDE/>
              <w:autoSpaceDN/>
              <w:bidi w:val="0"/>
              <w:snapToGrid/>
              <w:spacing w:line="288" w:lineRule="auto"/>
              <w:jc w:val="center"/>
              <w:textAlignment w:val="auto"/>
              <w:rPr>
                <w:sz w:val="24"/>
              </w:rPr>
            </w:pPr>
          </w:p>
        </w:tc>
        <w:tc>
          <w:tcPr>
            <w:tcW w:w="1985" w:type="dxa"/>
            <w:shd w:val="clear" w:color="auto" w:fill="auto"/>
            <w:noWrap/>
            <w:vAlign w:val="center"/>
          </w:tcPr>
          <w:p w14:paraId="48FC8107">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0.3</w:t>
            </w:r>
          </w:p>
        </w:tc>
        <w:tc>
          <w:tcPr>
            <w:tcW w:w="1985" w:type="dxa"/>
            <w:vAlign w:val="center"/>
          </w:tcPr>
          <w:p w14:paraId="35597E1A">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7～20</w:t>
            </w:r>
          </w:p>
        </w:tc>
        <w:tc>
          <w:tcPr>
            <w:tcW w:w="1985" w:type="dxa"/>
            <w:shd w:val="clear" w:color="auto" w:fill="auto"/>
            <w:noWrap/>
            <w:vAlign w:val="center"/>
          </w:tcPr>
          <w:p w14:paraId="237770B9">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sz w:val="24"/>
              </w:rPr>
              <w:t>7</w:t>
            </w:r>
            <w:r>
              <w:rPr>
                <w:rFonts w:hint="eastAsia"/>
                <w:sz w:val="24"/>
              </w:rPr>
              <w:t>～</w:t>
            </w:r>
            <w:r>
              <w:rPr>
                <w:sz w:val="24"/>
              </w:rPr>
              <w:t>18</w:t>
            </w:r>
          </w:p>
        </w:tc>
      </w:tr>
      <w:tr w14:paraId="39654D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985" w:type="dxa"/>
            <w:vMerge w:val="continue"/>
            <w:shd w:val="clear" w:color="auto" w:fill="auto"/>
            <w:noWrap/>
            <w:vAlign w:val="center"/>
          </w:tcPr>
          <w:p w14:paraId="3D5F3313">
            <w:pPr>
              <w:keepNext w:val="0"/>
              <w:keepLines w:val="0"/>
              <w:pageBreakBefore w:val="0"/>
              <w:widowControl/>
              <w:kinsoku/>
              <w:wordWrap/>
              <w:overflowPunct/>
              <w:topLinePunct w:val="0"/>
              <w:autoSpaceDE/>
              <w:autoSpaceDN/>
              <w:bidi w:val="0"/>
              <w:snapToGrid/>
              <w:spacing w:line="288" w:lineRule="auto"/>
              <w:jc w:val="center"/>
              <w:textAlignment w:val="auto"/>
              <w:rPr>
                <w:sz w:val="24"/>
              </w:rPr>
            </w:pPr>
          </w:p>
        </w:tc>
        <w:tc>
          <w:tcPr>
            <w:tcW w:w="1985" w:type="dxa"/>
            <w:shd w:val="clear" w:color="auto" w:fill="auto"/>
            <w:noWrap/>
            <w:vAlign w:val="center"/>
          </w:tcPr>
          <w:p w14:paraId="0F26CE73">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0.15</w:t>
            </w:r>
          </w:p>
        </w:tc>
        <w:tc>
          <w:tcPr>
            <w:tcW w:w="1985" w:type="dxa"/>
            <w:vAlign w:val="center"/>
          </w:tcPr>
          <w:p w14:paraId="12A3415C">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5～15</w:t>
            </w:r>
          </w:p>
        </w:tc>
        <w:tc>
          <w:tcPr>
            <w:tcW w:w="1985" w:type="dxa"/>
            <w:shd w:val="clear" w:color="auto" w:fill="auto"/>
            <w:noWrap/>
            <w:vAlign w:val="center"/>
          </w:tcPr>
          <w:p w14:paraId="71978FCB">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sz w:val="24"/>
              </w:rPr>
              <w:t>5</w:t>
            </w:r>
            <w:r>
              <w:rPr>
                <w:rFonts w:hint="eastAsia"/>
                <w:sz w:val="24"/>
              </w:rPr>
              <w:t>～</w:t>
            </w:r>
            <w:r>
              <w:rPr>
                <w:sz w:val="24"/>
              </w:rPr>
              <w:t>14</w:t>
            </w:r>
          </w:p>
        </w:tc>
      </w:tr>
      <w:tr w14:paraId="55D8A8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985" w:type="dxa"/>
            <w:vMerge w:val="continue"/>
            <w:shd w:val="clear" w:color="auto" w:fill="auto"/>
            <w:noWrap/>
            <w:vAlign w:val="center"/>
          </w:tcPr>
          <w:p w14:paraId="6245E565">
            <w:pPr>
              <w:keepNext w:val="0"/>
              <w:keepLines w:val="0"/>
              <w:pageBreakBefore w:val="0"/>
              <w:widowControl/>
              <w:kinsoku/>
              <w:wordWrap/>
              <w:overflowPunct/>
              <w:topLinePunct w:val="0"/>
              <w:autoSpaceDE/>
              <w:autoSpaceDN/>
              <w:bidi w:val="0"/>
              <w:snapToGrid/>
              <w:spacing w:line="288" w:lineRule="auto"/>
              <w:jc w:val="center"/>
              <w:textAlignment w:val="auto"/>
              <w:rPr>
                <w:sz w:val="24"/>
              </w:rPr>
            </w:pPr>
          </w:p>
        </w:tc>
        <w:tc>
          <w:tcPr>
            <w:tcW w:w="1985" w:type="dxa"/>
            <w:shd w:val="clear" w:color="auto" w:fill="auto"/>
            <w:noWrap/>
            <w:vAlign w:val="center"/>
          </w:tcPr>
          <w:p w14:paraId="2D1485AD">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0.075</w:t>
            </w:r>
          </w:p>
        </w:tc>
        <w:tc>
          <w:tcPr>
            <w:tcW w:w="1985" w:type="dxa"/>
            <w:vAlign w:val="center"/>
          </w:tcPr>
          <w:p w14:paraId="651B7870">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4～8</w:t>
            </w:r>
          </w:p>
        </w:tc>
        <w:tc>
          <w:tcPr>
            <w:tcW w:w="1985" w:type="dxa"/>
            <w:shd w:val="clear" w:color="auto" w:fill="auto"/>
            <w:noWrap/>
            <w:vAlign w:val="center"/>
          </w:tcPr>
          <w:p w14:paraId="2EE6190E">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sz w:val="24"/>
              </w:rPr>
              <w:t>4</w:t>
            </w:r>
            <w:r>
              <w:rPr>
                <w:rFonts w:hint="eastAsia"/>
                <w:sz w:val="24"/>
              </w:rPr>
              <w:t>～8</w:t>
            </w:r>
          </w:p>
        </w:tc>
      </w:tr>
    </w:tbl>
    <w:p w14:paraId="7E2F7451">
      <w:pPr>
        <w:keepNext w:val="0"/>
        <w:keepLines w:val="0"/>
        <w:pageBreakBefore w:val="0"/>
        <w:kinsoku/>
        <w:wordWrap/>
        <w:overflowPunct/>
        <w:topLinePunct w:val="0"/>
        <w:autoSpaceDE/>
        <w:autoSpaceDN/>
        <w:bidi w:val="0"/>
        <w:snapToGrid/>
        <w:spacing w:line="288" w:lineRule="auto"/>
        <w:ind w:firstLine="482" w:firstLineChars="200"/>
        <w:textAlignment w:val="auto"/>
        <w:rPr>
          <w:rFonts w:ascii="宋体" w:hAnsi="宋体"/>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cs="宋体"/>
          <w:b/>
          <w:bCs/>
          <w:sz w:val="24"/>
        </w:rPr>
        <w:t>.</w:t>
      </w:r>
      <w:r>
        <w:rPr>
          <w:rFonts w:ascii="宋体" w:hAnsi="宋体" w:cs="宋体"/>
          <w:b/>
          <w:bCs/>
          <w:sz w:val="24"/>
        </w:rPr>
        <w:t xml:space="preserve">6 </w:t>
      </w:r>
      <w:r>
        <w:rPr>
          <w:rFonts w:hint="eastAsia" w:ascii="宋体" w:hAnsi="宋体"/>
          <w:b/>
          <w:bCs/>
          <w:sz w:val="24"/>
        </w:rPr>
        <w:t>沥青混合料技术指标</w:t>
      </w:r>
    </w:p>
    <w:p w14:paraId="6BC76B8C">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cs="宋体"/>
          <w:sz w:val="24"/>
        </w:rPr>
        <w:t>沥青混合料配合比设计及检验的各项技术指标应符合表</w:t>
      </w:r>
      <w:r>
        <w:rPr>
          <w:rFonts w:ascii="宋体" w:hAnsi="宋体" w:cs="宋体"/>
          <w:sz w:val="24"/>
        </w:rPr>
        <w:t>9-7</w:t>
      </w:r>
      <w:r>
        <w:rPr>
          <w:rFonts w:hint="eastAsia" w:ascii="宋体" w:hAnsi="宋体" w:cs="宋体"/>
          <w:sz w:val="24"/>
        </w:rPr>
        <w:t>的要求。试验应遵照《公路工程沥青及沥青混合料试验规程》</w:t>
      </w:r>
      <w:r>
        <w:rPr>
          <w:rFonts w:ascii="宋体" w:hAnsi="宋体" w:cs="宋体"/>
          <w:sz w:val="24"/>
        </w:rPr>
        <w:t>(</w:t>
      </w:r>
      <w:r>
        <w:rPr>
          <w:rFonts w:hint="eastAsia" w:ascii="宋体" w:hAnsi="宋体" w:cs="宋体"/>
          <w:sz w:val="24"/>
        </w:rPr>
        <w:t>JTG E20-2011</w:t>
      </w:r>
      <w:r>
        <w:rPr>
          <w:rFonts w:ascii="宋体" w:hAnsi="宋体" w:cs="宋体"/>
          <w:sz w:val="24"/>
        </w:rPr>
        <w:t>)</w:t>
      </w:r>
      <w:r>
        <w:rPr>
          <w:rFonts w:hint="eastAsia" w:ascii="宋体" w:hAnsi="宋体" w:cs="宋体"/>
          <w:sz w:val="24"/>
        </w:rPr>
        <w:t>的有关规定进行。</w:t>
      </w:r>
    </w:p>
    <w:tbl>
      <w:tblPr>
        <w:tblStyle w:val="8"/>
        <w:tblW w:w="9639" w:type="dxa"/>
        <w:jc w:val="center"/>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autofit"/>
        <w:tblCellMar>
          <w:top w:w="0" w:type="dxa"/>
          <w:left w:w="108" w:type="dxa"/>
          <w:bottom w:w="0" w:type="dxa"/>
          <w:right w:w="108" w:type="dxa"/>
        </w:tblCellMar>
      </w:tblPr>
      <w:tblGrid>
        <w:gridCol w:w="6432"/>
        <w:gridCol w:w="3207"/>
      </w:tblGrid>
      <w:tr w14:paraId="5C76B26E">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97" w:hRule="atLeast"/>
          <w:jc w:val="center"/>
        </w:trPr>
        <w:tc>
          <w:tcPr>
            <w:tcW w:w="9639" w:type="dxa"/>
            <w:gridSpan w:val="2"/>
            <w:tcBorders>
              <w:top w:val="nil"/>
              <w:left w:val="nil"/>
              <w:bottom w:val="single" w:color="auto" w:sz="12" w:space="0"/>
              <w:right w:val="nil"/>
            </w:tcBorders>
            <w:shd w:val="clear" w:color="auto" w:fill="auto"/>
            <w:vAlign w:val="center"/>
          </w:tcPr>
          <w:p w14:paraId="24B8EC32">
            <w:pPr>
              <w:keepNext w:val="0"/>
              <w:keepLines w:val="0"/>
              <w:pageBreakBefore w:val="0"/>
              <w:kinsoku/>
              <w:wordWrap/>
              <w:overflowPunct/>
              <w:topLinePunct w:val="0"/>
              <w:autoSpaceDE/>
              <w:autoSpaceDN/>
              <w:bidi w:val="0"/>
              <w:snapToGrid/>
              <w:spacing w:line="288" w:lineRule="auto"/>
              <w:ind w:firstLine="480" w:firstLineChars="200"/>
              <w:jc w:val="center"/>
              <w:textAlignment w:val="auto"/>
              <w:rPr>
                <w:rFonts w:ascii="宋体" w:hAnsi="宋体"/>
                <w:bCs/>
                <w:sz w:val="24"/>
              </w:rPr>
            </w:pPr>
            <w:r>
              <w:rPr>
                <w:rFonts w:hint="eastAsia" w:ascii="宋体" w:hAnsi="宋体"/>
                <w:bCs/>
                <w:sz w:val="24"/>
              </w:rPr>
              <w:t>面层沥青混合料技术指标表</w:t>
            </w:r>
          </w:p>
        </w:tc>
      </w:tr>
      <w:tr w14:paraId="659C153A">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12" w:space="0"/>
              <w:bottom w:val="single" w:color="auto" w:sz="6" w:space="0"/>
              <w:right w:val="single" w:color="auto" w:sz="6" w:space="0"/>
            </w:tcBorders>
            <w:shd w:val="clear" w:color="auto" w:fill="auto"/>
            <w:vAlign w:val="center"/>
          </w:tcPr>
          <w:p w14:paraId="127C1F85">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项目</w:t>
            </w:r>
          </w:p>
        </w:tc>
        <w:tc>
          <w:tcPr>
            <w:tcW w:w="3207" w:type="dxa"/>
            <w:tcBorders>
              <w:top w:val="single" w:color="auto" w:sz="12" w:space="0"/>
              <w:left w:val="single" w:color="auto" w:sz="6" w:space="0"/>
              <w:bottom w:val="single" w:color="auto" w:sz="6" w:space="0"/>
            </w:tcBorders>
            <w:shd w:val="clear" w:color="auto" w:fill="auto"/>
            <w:noWrap/>
            <w:vAlign w:val="center"/>
          </w:tcPr>
          <w:p w14:paraId="6B36A506">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沥青混凝土</w:t>
            </w:r>
          </w:p>
        </w:tc>
      </w:tr>
      <w:tr w14:paraId="7C394241">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2A8FFA3D">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击时次数(双面)(次)</w:t>
            </w:r>
          </w:p>
        </w:tc>
        <w:tc>
          <w:tcPr>
            <w:tcW w:w="3207" w:type="dxa"/>
            <w:tcBorders>
              <w:top w:val="single" w:color="auto" w:sz="6" w:space="0"/>
              <w:left w:val="single" w:color="auto" w:sz="6" w:space="0"/>
              <w:bottom w:val="single" w:color="auto" w:sz="6" w:space="0"/>
            </w:tcBorders>
            <w:shd w:val="clear" w:color="auto" w:fill="auto"/>
            <w:noWrap/>
            <w:vAlign w:val="center"/>
          </w:tcPr>
          <w:p w14:paraId="66C34745">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50</w:t>
            </w:r>
          </w:p>
        </w:tc>
      </w:tr>
      <w:tr w14:paraId="1C93D11E">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15C3FA3B">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稳定度(KN)</w:t>
            </w:r>
          </w:p>
        </w:tc>
        <w:tc>
          <w:tcPr>
            <w:tcW w:w="3207" w:type="dxa"/>
            <w:tcBorders>
              <w:top w:val="single" w:color="auto" w:sz="6" w:space="0"/>
              <w:left w:val="single" w:color="auto" w:sz="6" w:space="0"/>
              <w:bottom w:val="single" w:color="auto" w:sz="6" w:space="0"/>
            </w:tcBorders>
            <w:shd w:val="clear" w:color="auto" w:fill="auto"/>
            <w:noWrap/>
            <w:vAlign w:val="center"/>
          </w:tcPr>
          <w:p w14:paraId="1CC026F3">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≮5</w:t>
            </w:r>
          </w:p>
        </w:tc>
      </w:tr>
      <w:tr w14:paraId="0AE0F3C1">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2D9AF16C">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流值(mm)</w:t>
            </w:r>
          </w:p>
        </w:tc>
        <w:tc>
          <w:tcPr>
            <w:tcW w:w="3207" w:type="dxa"/>
            <w:tcBorders>
              <w:top w:val="single" w:color="auto" w:sz="6" w:space="0"/>
              <w:left w:val="single" w:color="auto" w:sz="6" w:space="0"/>
              <w:bottom w:val="single" w:color="auto" w:sz="6" w:space="0"/>
            </w:tcBorders>
            <w:shd w:val="clear" w:color="auto" w:fill="auto"/>
            <w:noWrap/>
            <w:vAlign w:val="center"/>
          </w:tcPr>
          <w:p w14:paraId="69CC0BCB">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2～4.5</w:t>
            </w:r>
          </w:p>
        </w:tc>
      </w:tr>
      <w:tr w14:paraId="4336791C">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23087C48">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空隙率(%)</w:t>
            </w:r>
          </w:p>
        </w:tc>
        <w:tc>
          <w:tcPr>
            <w:tcW w:w="3207" w:type="dxa"/>
            <w:tcBorders>
              <w:top w:val="single" w:color="auto" w:sz="6" w:space="0"/>
              <w:left w:val="single" w:color="auto" w:sz="6" w:space="0"/>
              <w:bottom w:val="single" w:color="auto" w:sz="6" w:space="0"/>
            </w:tcBorders>
            <w:shd w:val="clear" w:color="auto" w:fill="auto"/>
            <w:noWrap/>
            <w:vAlign w:val="center"/>
          </w:tcPr>
          <w:p w14:paraId="4D3E4CFE">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3～6</w:t>
            </w:r>
          </w:p>
        </w:tc>
      </w:tr>
      <w:tr w14:paraId="0C1BEE79">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2C1DB4A3">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沥青饱和度(%)</w:t>
            </w:r>
          </w:p>
        </w:tc>
        <w:tc>
          <w:tcPr>
            <w:tcW w:w="3207" w:type="dxa"/>
            <w:tcBorders>
              <w:top w:val="single" w:color="auto" w:sz="6" w:space="0"/>
              <w:left w:val="single" w:color="auto" w:sz="6" w:space="0"/>
              <w:bottom w:val="single" w:color="auto" w:sz="6" w:space="0"/>
            </w:tcBorders>
            <w:shd w:val="clear" w:color="auto" w:fill="auto"/>
            <w:noWrap/>
            <w:vAlign w:val="center"/>
          </w:tcPr>
          <w:p w14:paraId="64B61D9D">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70～85</w:t>
            </w:r>
          </w:p>
        </w:tc>
      </w:tr>
      <w:tr w14:paraId="0AE2071F">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50ED3E7B">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浸水马歇尔试验残留稳定度比不小于</w:t>
            </w:r>
          </w:p>
        </w:tc>
        <w:tc>
          <w:tcPr>
            <w:tcW w:w="3207" w:type="dxa"/>
            <w:tcBorders>
              <w:top w:val="single" w:color="auto" w:sz="6" w:space="0"/>
              <w:left w:val="single" w:color="auto" w:sz="6" w:space="0"/>
              <w:bottom w:val="single" w:color="auto" w:sz="6" w:space="0"/>
            </w:tcBorders>
            <w:shd w:val="clear" w:color="auto" w:fill="auto"/>
            <w:noWrap/>
            <w:vAlign w:val="center"/>
          </w:tcPr>
          <w:p w14:paraId="77FA44F5">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80</w:t>
            </w:r>
          </w:p>
        </w:tc>
      </w:tr>
      <w:tr w14:paraId="525756C1">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480C83A1">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冻融劈裂试验残留强度比不小于</w:t>
            </w:r>
          </w:p>
        </w:tc>
        <w:tc>
          <w:tcPr>
            <w:tcW w:w="3207" w:type="dxa"/>
            <w:tcBorders>
              <w:top w:val="single" w:color="auto" w:sz="6" w:space="0"/>
              <w:left w:val="single" w:color="auto" w:sz="6" w:space="0"/>
              <w:bottom w:val="single" w:color="auto" w:sz="6" w:space="0"/>
            </w:tcBorders>
            <w:shd w:val="clear" w:color="auto" w:fill="auto"/>
            <w:noWrap/>
            <w:vAlign w:val="center"/>
          </w:tcPr>
          <w:p w14:paraId="57FD0310">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75</w:t>
            </w:r>
          </w:p>
        </w:tc>
      </w:tr>
      <w:tr w14:paraId="1052D7EE">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66AFE1DF">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车辙动稳定度（次/mm）不小于</w:t>
            </w:r>
          </w:p>
        </w:tc>
        <w:tc>
          <w:tcPr>
            <w:tcW w:w="3207" w:type="dxa"/>
            <w:tcBorders>
              <w:top w:val="single" w:color="auto" w:sz="6" w:space="0"/>
              <w:left w:val="single" w:color="auto" w:sz="6" w:space="0"/>
              <w:bottom w:val="single" w:color="auto" w:sz="6" w:space="0"/>
            </w:tcBorders>
            <w:shd w:val="clear" w:color="auto" w:fill="auto"/>
            <w:noWrap/>
            <w:vAlign w:val="center"/>
          </w:tcPr>
          <w:p w14:paraId="3936AAD0">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800</w:t>
            </w:r>
          </w:p>
        </w:tc>
      </w:tr>
      <w:tr w14:paraId="608FBDF1">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710D3F2A">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低温弯曲试验破坏应变(με)</w:t>
            </w:r>
          </w:p>
        </w:tc>
        <w:tc>
          <w:tcPr>
            <w:tcW w:w="3207" w:type="dxa"/>
            <w:tcBorders>
              <w:top w:val="single" w:color="auto" w:sz="6" w:space="0"/>
              <w:left w:val="single" w:color="auto" w:sz="6" w:space="0"/>
              <w:bottom w:val="single" w:color="auto" w:sz="6" w:space="0"/>
            </w:tcBorders>
            <w:shd w:val="clear" w:color="auto" w:fill="auto"/>
            <w:noWrap/>
            <w:vAlign w:val="center"/>
          </w:tcPr>
          <w:p w14:paraId="6F6247F2">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不小于2300</w:t>
            </w:r>
          </w:p>
        </w:tc>
      </w:tr>
      <w:tr w14:paraId="2B384933">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12" w:space="0"/>
              <w:right w:val="single" w:color="auto" w:sz="6" w:space="0"/>
            </w:tcBorders>
            <w:shd w:val="clear" w:color="auto" w:fill="auto"/>
            <w:vAlign w:val="center"/>
          </w:tcPr>
          <w:p w14:paraId="0E713D82">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混合料的渗水系数应不大于</w:t>
            </w:r>
          </w:p>
        </w:tc>
        <w:tc>
          <w:tcPr>
            <w:tcW w:w="3207" w:type="dxa"/>
            <w:tcBorders>
              <w:top w:val="single" w:color="auto" w:sz="6" w:space="0"/>
              <w:left w:val="single" w:color="auto" w:sz="6" w:space="0"/>
              <w:bottom w:val="single" w:color="auto" w:sz="12" w:space="0"/>
            </w:tcBorders>
            <w:shd w:val="clear" w:color="auto" w:fill="auto"/>
            <w:noWrap/>
            <w:vAlign w:val="center"/>
          </w:tcPr>
          <w:p w14:paraId="42E1AAC3">
            <w:pPr>
              <w:keepNext w:val="0"/>
              <w:keepLines w:val="0"/>
              <w:pageBreakBefore w:val="0"/>
              <w:widowControl/>
              <w:kinsoku/>
              <w:wordWrap/>
              <w:overflowPunct/>
              <w:topLinePunct w:val="0"/>
              <w:autoSpaceDE/>
              <w:autoSpaceDN/>
              <w:bidi w:val="0"/>
              <w:snapToGrid/>
              <w:spacing w:line="288" w:lineRule="auto"/>
              <w:jc w:val="center"/>
              <w:textAlignment w:val="auto"/>
              <w:rPr>
                <w:sz w:val="24"/>
              </w:rPr>
            </w:pPr>
            <w:r>
              <w:rPr>
                <w:rFonts w:hint="eastAsia"/>
                <w:sz w:val="24"/>
              </w:rPr>
              <w:t>120ml/min</w:t>
            </w:r>
          </w:p>
        </w:tc>
      </w:tr>
    </w:tbl>
    <w:p w14:paraId="43A4D850">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施工单位应根据《公路工程沥青及沥青混合料试验规程》(JTG E20-2011)的有关规定进行配合比设计，以选取满足质量要求的、更加经济合理的配合比。</w:t>
      </w:r>
    </w:p>
    <w:p w14:paraId="6D37154C">
      <w:pPr>
        <w:keepNext w:val="0"/>
        <w:keepLines w:val="0"/>
        <w:pageBreakBefore w:val="0"/>
        <w:kinsoku/>
        <w:wordWrap/>
        <w:overflowPunct/>
        <w:topLinePunct w:val="0"/>
        <w:autoSpaceDE/>
        <w:autoSpaceDN/>
        <w:bidi w:val="0"/>
        <w:snapToGrid/>
        <w:spacing w:line="288" w:lineRule="auto"/>
        <w:ind w:firstLine="482" w:firstLineChars="200"/>
        <w:textAlignment w:val="auto"/>
        <w:rPr>
          <w:rFonts w:ascii="宋体" w:hAnsi="宋体" w:cs="宋体"/>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cs="宋体"/>
          <w:b/>
          <w:bCs/>
          <w:sz w:val="24"/>
        </w:rPr>
        <w:t>.</w:t>
      </w:r>
      <w:r>
        <w:rPr>
          <w:rFonts w:hint="eastAsia" w:ascii="宋体" w:hAnsi="宋体" w:cs="宋体"/>
          <w:b/>
          <w:bCs/>
          <w:sz w:val="24"/>
          <w:lang w:val="en-US" w:eastAsia="zh-CN"/>
        </w:rPr>
        <w:t>4.7</w:t>
      </w:r>
      <w:r>
        <w:rPr>
          <w:rFonts w:hint="eastAsia" w:ascii="宋体" w:hAnsi="宋体" w:cs="宋体"/>
          <w:b/>
          <w:bCs/>
          <w:sz w:val="24"/>
        </w:rPr>
        <w:t>黏层</w:t>
      </w:r>
    </w:p>
    <w:p w14:paraId="6E56DE8E">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在沥青层与水泥路之间设置黏层，黏层油采用90号石油热沥青，喷洒黏层油前，应对下面层进行清扫，再浇洒热沥青黏层油，用量为0.3～0.6L/m</w:t>
      </w:r>
      <w:r>
        <w:rPr>
          <w:rFonts w:hint="eastAsia" w:ascii="宋体" w:hAnsi="宋体" w:cs="宋体"/>
          <w:sz w:val="24"/>
          <w:vertAlign w:val="superscript"/>
        </w:rPr>
        <w:t>2</w:t>
      </w:r>
      <w:r>
        <w:rPr>
          <w:rFonts w:hint="eastAsia" w:ascii="宋体" w:hAnsi="宋体" w:cs="宋体"/>
          <w:sz w:val="24"/>
        </w:rPr>
        <w:t>，黏层的材料和施工工艺应符合《公路沥青路面施工技术规范》(JTG F40-2017)的要求。</w:t>
      </w:r>
    </w:p>
    <w:p w14:paraId="77FDAC04">
      <w:pPr>
        <w:keepNext w:val="0"/>
        <w:keepLines w:val="0"/>
        <w:pageBreakBefore w:val="0"/>
        <w:kinsoku/>
        <w:wordWrap/>
        <w:overflowPunct/>
        <w:topLinePunct w:val="0"/>
        <w:autoSpaceDE/>
        <w:autoSpaceDN/>
        <w:bidi w:val="0"/>
        <w:snapToGrid/>
        <w:spacing w:line="288" w:lineRule="auto"/>
        <w:ind w:firstLine="482" w:firstLineChars="200"/>
        <w:textAlignment w:val="auto"/>
        <w:rPr>
          <w:rFonts w:ascii="宋体" w:hAnsi="宋体"/>
          <w:b/>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cs="宋体"/>
          <w:b/>
          <w:bCs/>
          <w:sz w:val="24"/>
        </w:rPr>
        <w:t>.</w:t>
      </w:r>
      <w:r>
        <w:rPr>
          <w:rFonts w:hint="eastAsia" w:ascii="宋体" w:hAnsi="宋体" w:cs="宋体"/>
          <w:b/>
          <w:bCs/>
          <w:sz w:val="24"/>
          <w:lang w:val="en-US" w:eastAsia="zh-CN"/>
        </w:rPr>
        <w:t>4</w:t>
      </w:r>
      <w:r>
        <w:rPr>
          <w:rFonts w:ascii="宋体" w:hAnsi="宋体" w:cs="宋体"/>
          <w:b/>
          <w:bCs/>
          <w:sz w:val="24"/>
        </w:rPr>
        <w:t>.8</w:t>
      </w:r>
      <w:r>
        <w:rPr>
          <w:rFonts w:hint="eastAsia" w:ascii="宋体" w:hAnsi="宋体"/>
          <w:b/>
          <w:sz w:val="24"/>
        </w:rPr>
        <w:t>水泥稳定</w:t>
      </w:r>
      <w:r>
        <w:rPr>
          <w:rFonts w:hint="eastAsia" w:ascii="宋体" w:hAnsi="宋体"/>
          <w:b/>
          <w:sz w:val="24"/>
          <w:lang w:eastAsia="zh-CN"/>
        </w:rPr>
        <w:t>砂砾</w:t>
      </w:r>
      <w:r>
        <w:rPr>
          <w:rFonts w:hint="eastAsia" w:ascii="宋体" w:hAnsi="宋体"/>
          <w:b/>
          <w:sz w:val="24"/>
        </w:rPr>
        <w:t>基层</w:t>
      </w:r>
    </w:p>
    <w:p w14:paraId="14B65238">
      <w:pPr>
        <w:keepNext w:val="0"/>
        <w:keepLines w:val="0"/>
        <w:pageBreakBefore w:val="0"/>
        <w:kinsoku/>
        <w:wordWrap/>
        <w:overflowPunct/>
        <w:topLinePunct w:val="0"/>
        <w:autoSpaceDE/>
        <w:autoSpaceDN/>
        <w:bidi w:val="0"/>
        <w:snapToGrid/>
        <w:spacing w:line="288" w:lineRule="auto"/>
        <w:ind w:firstLine="482" w:firstLineChars="200"/>
        <w:textAlignment w:val="auto"/>
        <w:rPr>
          <w:rFonts w:ascii="宋体" w:hAnsi="宋体"/>
          <w:b/>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b/>
          <w:sz w:val="24"/>
        </w:rPr>
        <w:t>.</w:t>
      </w:r>
      <w:r>
        <w:rPr>
          <w:rFonts w:ascii="宋体" w:hAnsi="宋体"/>
          <w:b/>
          <w:sz w:val="24"/>
        </w:rPr>
        <w:t>8.1</w:t>
      </w:r>
      <w:r>
        <w:rPr>
          <w:rFonts w:hint="eastAsia" w:ascii="宋体" w:hAnsi="宋体"/>
          <w:b/>
          <w:sz w:val="24"/>
        </w:rPr>
        <w:t>骨架主体材料技术要求</w:t>
      </w:r>
    </w:p>
    <w:p w14:paraId="0F2563F7">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粗集料的针片状含量应小于等于20%；水泥稳定</w:t>
      </w:r>
      <w:r>
        <w:rPr>
          <w:rFonts w:hint="eastAsia" w:ascii="宋体" w:hAnsi="宋体" w:cs="宋体"/>
          <w:sz w:val="24"/>
          <w:lang w:eastAsia="zh-CN"/>
        </w:rPr>
        <w:t>砂砾</w:t>
      </w:r>
      <w:r>
        <w:rPr>
          <w:rFonts w:hint="eastAsia" w:ascii="宋体" w:hAnsi="宋体" w:cs="宋体"/>
          <w:sz w:val="24"/>
        </w:rPr>
        <w:t>中的粗集料压碎值应不大于30%；基层的粗集料规格要求应符合《公路路面基层施工技术细则》(JTG∕T F20-2015)表3.6.2的要求；基层应满足下表中 C-C-1的要求。</w:t>
      </w:r>
    </w:p>
    <w:p w14:paraId="31458CC2">
      <w:pPr>
        <w:keepNext w:val="0"/>
        <w:keepLines w:val="0"/>
        <w:pageBreakBefore w:val="0"/>
        <w:kinsoku/>
        <w:wordWrap/>
        <w:overflowPunct/>
        <w:topLinePunct w:val="0"/>
        <w:autoSpaceDE/>
        <w:autoSpaceDN/>
        <w:bidi w:val="0"/>
        <w:snapToGrid/>
        <w:spacing w:line="288" w:lineRule="auto"/>
        <w:ind w:firstLine="200" w:firstLineChars="200"/>
        <w:jc w:val="center"/>
        <w:textAlignment w:val="auto"/>
        <w:rPr>
          <w:rFonts w:ascii="宋体" w:hAnsi="宋体" w:cs="宋体"/>
          <w:sz w:val="10"/>
          <w:szCs w:val="10"/>
        </w:rPr>
      </w:pPr>
    </w:p>
    <w:tbl>
      <w:tblPr>
        <w:tblStyle w:val="8"/>
        <w:tblW w:w="8482" w:type="dxa"/>
        <w:jc w:val="center"/>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Layout w:type="fixed"/>
        <w:tblCellMar>
          <w:top w:w="0" w:type="dxa"/>
          <w:left w:w="108" w:type="dxa"/>
          <w:bottom w:w="0" w:type="dxa"/>
          <w:right w:w="108" w:type="dxa"/>
        </w:tblCellMar>
      </w:tblPr>
      <w:tblGrid>
        <w:gridCol w:w="2933"/>
        <w:gridCol w:w="2776"/>
        <w:gridCol w:w="2773"/>
      </w:tblGrid>
      <w:tr w14:paraId="515F9637">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454" w:hRule="exact"/>
          <w:jc w:val="center"/>
        </w:trPr>
        <w:tc>
          <w:tcPr>
            <w:tcW w:w="5709" w:type="dxa"/>
            <w:gridSpan w:val="2"/>
            <w:tcBorders>
              <w:top w:val="single" w:color="auto" w:sz="12" w:space="0"/>
              <w:bottom w:val="single" w:color="auto" w:sz="6" w:space="0"/>
              <w:right w:val="single" w:color="auto" w:sz="6" w:space="0"/>
            </w:tcBorders>
            <w:shd w:val="clear" w:color="auto" w:fill="auto"/>
            <w:noWrap/>
            <w:vAlign w:val="center"/>
          </w:tcPr>
          <w:p w14:paraId="5210CE27">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级配类型</w:t>
            </w:r>
          </w:p>
        </w:tc>
        <w:tc>
          <w:tcPr>
            <w:tcW w:w="2773" w:type="dxa"/>
            <w:tcBorders>
              <w:top w:val="single" w:color="auto" w:sz="12" w:space="0"/>
              <w:left w:val="single" w:color="auto" w:sz="6" w:space="0"/>
              <w:bottom w:val="single" w:color="auto" w:sz="6" w:space="0"/>
            </w:tcBorders>
            <w:shd w:val="clear" w:color="auto" w:fill="auto"/>
            <w:vAlign w:val="center"/>
          </w:tcPr>
          <w:p w14:paraId="4E12014D">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C-C-1</w:t>
            </w:r>
          </w:p>
        </w:tc>
      </w:tr>
      <w:tr w14:paraId="0FE77A7A">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454" w:hRule="exact"/>
          <w:jc w:val="center"/>
        </w:trPr>
        <w:tc>
          <w:tcPr>
            <w:tcW w:w="2933" w:type="dxa"/>
            <w:vMerge w:val="restart"/>
            <w:tcBorders>
              <w:top w:val="single" w:color="auto" w:sz="6" w:space="0"/>
              <w:bottom w:val="single" w:color="auto" w:sz="6" w:space="0"/>
              <w:right w:val="single" w:color="auto" w:sz="6" w:space="0"/>
            </w:tcBorders>
            <w:shd w:val="clear" w:color="auto" w:fill="auto"/>
            <w:noWrap/>
            <w:vAlign w:val="center"/>
          </w:tcPr>
          <w:p w14:paraId="7CA590DB">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通过下列</w:t>
            </w:r>
          </w:p>
          <w:p w14:paraId="7F1EA76F">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方孔筛(mm)</w:t>
            </w:r>
          </w:p>
          <w:p w14:paraId="2C016E7D">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重量百分率(%)</w:t>
            </w:r>
          </w:p>
        </w:tc>
        <w:tc>
          <w:tcPr>
            <w:tcW w:w="27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1ED83194">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37.5</w:t>
            </w:r>
          </w:p>
        </w:tc>
        <w:tc>
          <w:tcPr>
            <w:tcW w:w="2773" w:type="dxa"/>
            <w:tcBorders>
              <w:top w:val="single" w:color="auto" w:sz="6" w:space="0"/>
              <w:left w:val="single" w:color="auto" w:sz="6" w:space="0"/>
              <w:bottom w:val="single" w:color="auto" w:sz="6" w:space="0"/>
            </w:tcBorders>
            <w:shd w:val="clear" w:color="auto" w:fill="auto"/>
            <w:vAlign w:val="center"/>
          </w:tcPr>
          <w:p w14:paraId="6DAFD8FB">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100</w:t>
            </w:r>
          </w:p>
        </w:tc>
      </w:tr>
      <w:tr w14:paraId="41587FAE">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454" w:hRule="exact"/>
          <w:jc w:val="center"/>
        </w:trPr>
        <w:tc>
          <w:tcPr>
            <w:tcW w:w="2933" w:type="dxa"/>
            <w:vMerge w:val="continue"/>
            <w:tcBorders>
              <w:top w:val="single" w:color="auto" w:sz="6" w:space="0"/>
              <w:bottom w:val="single" w:color="auto" w:sz="6" w:space="0"/>
              <w:right w:val="single" w:color="auto" w:sz="6" w:space="0"/>
            </w:tcBorders>
            <w:shd w:val="clear" w:color="auto" w:fill="auto"/>
            <w:noWrap/>
            <w:vAlign w:val="center"/>
          </w:tcPr>
          <w:p w14:paraId="6CEF1B1E">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p>
        </w:tc>
        <w:tc>
          <w:tcPr>
            <w:tcW w:w="2776" w:type="dxa"/>
            <w:tcBorders>
              <w:top w:val="single" w:color="auto" w:sz="6" w:space="0"/>
              <w:left w:val="single" w:color="auto" w:sz="6" w:space="0"/>
              <w:bottom w:val="single" w:color="auto" w:sz="6" w:space="0"/>
              <w:right w:val="single" w:color="auto" w:sz="6" w:space="0"/>
            </w:tcBorders>
            <w:shd w:val="clear" w:color="auto" w:fill="auto"/>
            <w:vAlign w:val="center"/>
          </w:tcPr>
          <w:p w14:paraId="00250830">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31.5</w:t>
            </w:r>
          </w:p>
        </w:tc>
        <w:tc>
          <w:tcPr>
            <w:tcW w:w="2773" w:type="dxa"/>
            <w:tcBorders>
              <w:top w:val="single" w:color="auto" w:sz="6" w:space="0"/>
              <w:left w:val="single" w:color="auto" w:sz="6" w:space="0"/>
              <w:bottom w:val="single" w:color="auto" w:sz="6" w:space="0"/>
            </w:tcBorders>
            <w:shd w:val="clear" w:color="auto" w:fill="auto"/>
            <w:vAlign w:val="center"/>
          </w:tcPr>
          <w:p w14:paraId="49239034">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90～100</w:t>
            </w:r>
          </w:p>
        </w:tc>
      </w:tr>
      <w:tr w14:paraId="5E4C5310">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454" w:hRule="exact"/>
          <w:jc w:val="center"/>
        </w:trPr>
        <w:tc>
          <w:tcPr>
            <w:tcW w:w="2933" w:type="dxa"/>
            <w:vMerge w:val="continue"/>
            <w:tcBorders>
              <w:top w:val="single" w:color="auto" w:sz="6" w:space="0"/>
              <w:bottom w:val="single" w:color="auto" w:sz="6" w:space="0"/>
              <w:right w:val="single" w:color="auto" w:sz="6" w:space="0"/>
            </w:tcBorders>
            <w:shd w:val="clear" w:color="auto" w:fill="auto"/>
            <w:noWrap/>
            <w:vAlign w:val="center"/>
          </w:tcPr>
          <w:p w14:paraId="1D823AA3">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p>
        </w:tc>
        <w:tc>
          <w:tcPr>
            <w:tcW w:w="27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7F37822A">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26.5</w:t>
            </w:r>
          </w:p>
        </w:tc>
        <w:tc>
          <w:tcPr>
            <w:tcW w:w="2773" w:type="dxa"/>
            <w:tcBorders>
              <w:top w:val="single" w:color="auto" w:sz="6" w:space="0"/>
              <w:left w:val="single" w:color="auto" w:sz="6" w:space="0"/>
              <w:bottom w:val="single" w:color="auto" w:sz="6" w:space="0"/>
            </w:tcBorders>
            <w:shd w:val="clear" w:color="auto" w:fill="auto"/>
            <w:vAlign w:val="center"/>
          </w:tcPr>
          <w:p w14:paraId="28372BEE">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94～81</w:t>
            </w:r>
          </w:p>
        </w:tc>
      </w:tr>
      <w:tr w14:paraId="41E26CD2">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454" w:hRule="exact"/>
          <w:jc w:val="center"/>
        </w:trPr>
        <w:tc>
          <w:tcPr>
            <w:tcW w:w="2933" w:type="dxa"/>
            <w:vMerge w:val="continue"/>
            <w:tcBorders>
              <w:top w:val="single" w:color="auto" w:sz="6" w:space="0"/>
              <w:bottom w:val="single" w:color="auto" w:sz="6" w:space="0"/>
              <w:right w:val="single" w:color="auto" w:sz="6" w:space="0"/>
            </w:tcBorders>
            <w:shd w:val="clear" w:color="auto" w:fill="auto"/>
            <w:noWrap/>
            <w:vAlign w:val="center"/>
          </w:tcPr>
          <w:p w14:paraId="25F5F5AD">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p>
        </w:tc>
        <w:tc>
          <w:tcPr>
            <w:tcW w:w="27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0106696E">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19</w:t>
            </w:r>
          </w:p>
        </w:tc>
        <w:tc>
          <w:tcPr>
            <w:tcW w:w="2773" w:type="dxa"/>
            <w:tcBorders>
              <w:top w:val="single" w:color="auto" w:sz="6" w:space="0"/>
              <w:left w:val="single" w:color="auto" w:sz="6" w:space="0"/>
              <w:bottom w:val="single" w:color="auto" w:sz="6" w:space="0"/>
            </w:tcBorders>
            <w:shd w:val="clear" w:color="auto" w:fill="auto"/>
            <w:vAlign w:val="center"/>
          </w:tcPr>
          <w:p w14:paraId="59AF5FD0">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83～67</w:t>
            </w:r>
          </w:p>
        </w:tc>
      </w:tr>
      <w:tr w14:paraId="040B6FD7">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454" w:hRule="exact"/>
          <w:jc w:val="center"/>
        </w:trPr>
        <w:tc>
          <w:tcPr>
            <w:tcW w:w="2933" w:type="dxa"/>
            <w:vMerge w:val="continue"/>
            <w:tcBorders>
              <w:top w:val="single" w:color="auto" w:sz="6" w:space="0"/>
              <w:bottom w:val="single" w:color="auto" w:sz="6" w:space="0"/>
              <w:right w:val="single" w:color="auto" w:sz="6" w:space="0"/>
            </w:tcBorders>
            <w:shd w:val="clear" w:color="auto" w:fill="auto"/>
            <w:noWrap/>
            <w:vAlign w:val="center"/>
          </w:tcPr>
          <w:p w14:paraId="713CC706">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p>
        </w:tc>
        <w:tc>
          <w:tcPr>
            <w:tcW w:w="27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4C2C523D">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16</w:t>
            </w:r>
          </w:p>
        </w:tc>
        <w:tc>
          <w:tcPr>
            <w:tcW w:w="2773" w:type="dxa"/>
            <w:tcBorders>
              <w:top w:val="single" w:color="auto" w:sz="6" w:space="0"/>
              <w:left w:val="single" w:color="auto" w:sz="6" w:space="0"/>
              <w:bottom w:val="single" w:color="auto" w:sz="6" w:space="0"/>
            </w:tcBorders>
            <w:shd w:val="clear" w:color="auto" w:fill="auto"/>
            <w:vAlign w:val="center"/>
          </w:tcPr>
          <w:p w14:paraId="02645086">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78～61</w:t>
            </w:r>
          </w:p>
        </w:tc>
      </w:tr>
      <w:tr w14:paraId="71F8A7BA">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454" w:hRule="exact"/>
          <w:jc w:val="center"/>
        </w:trPr>
        <w:tc>
          <w:tcPr>
            <w:tcW w:w="2933" w:type="dxa"/>
            <w:vMerge w:val="continue"/>
            <w:tcBorders>
              <w:top w:val="single" w:color="auto" w:sz="6" w:space="0"/>
              <w:bottom w:val="single" w:color="auto" w:sz="6" w:space="0"/>
              <w:right w:val="single" w:color="auto" w:sz="6" w:space="0"/>
            </w:tcBorders>
            <w:shd w:val="clear" w:color="auto" w:fill="auto"/>
            <w:noWrap/>
            <w:vAlign w:val="center"/>
          </w:tcPr>
          <w:p w14:paraId="7F59D333">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p>
        </w:tc>
        <w:tc>
          <w:tcPr>
            <w:tcW w:w="27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34AE0BEF">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13.2</w:t>
            </w:r>
          </w:p>
        </w:tc>
        <w:tc>
          <w:tcPr>
            <w:tcW w:w="2773" w:type="dxa"/>
            <w:tcBorders>
              <w:top w:val="single" w:color="auto" w:sz="6" w:space="0"/>
              <w:left w:val="single" w:color="auto" w:sz="6" w:space="0"/>
              <w:bottom w:val="single" w:color="auto" w:sz="6" w:space="0"/>
            </w:tcBorders>
            <w:shd w:val="clear" w:color="auto" w:fill="auto"/>
            <w:vAlign w:val="center"/>
          </w:tcPr>
          <w:p w14:paraId="6C11FAF1">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73～54</w:t>
            </w:r>
          </w:p>
        </w:tc>
      </w:tr>
      <w:tr w14:paraId="127DA0F6">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454" w:hRule="exact"/>
          <w:jc w:val="center"/>
        </w:trPr>
        <w:tc>
          <w:tcPr>
            <w:tcW w:w="2933" w:type="dxa"/>
            <w:vMerge w:val="continue"/>
            <w:tcBorders>
              <w:top w:val="single" w:color="auto" w:sz="6" w:space="0"/>
              <w:bottom w:val="single" w:color="auto" w:sz="6" w:space="0"/>
              <w:right w:val="single" w:color="auto" w:sz="6" w:space="0"/>
            </w:tcBorders>
            <w:shd w:val="clear" w:color="auto" w:fill="auto"/>
            <w:noWrap/>
            <w:vAlign w:val="center"/>
          </w:tcPr>
          <w:p w14:paraId="1D4A1E57">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p>
        </w:tc>
        <w:tc>
          <w:tcPr>
            <w:tcW w:w="27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11D37C4D">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9.5</w:t>
            </w:r>
          </w:p>
        </w:tc>
        <w:tc>
          <w:tcPr>
            <w:tcW w:w="2773" w:type="dxa"/>
            <w:tcBorders>
              <w:top w:val="single" w:color="auto" w:sz="6" w:space="0"/>
              <w:left w:val="single" w:color="auto" w:sz="6" w:space="0"/>
              <w:bottom w:val="single" w:color="auto" w:sz="6" w:space="0"/>
            </w:tcBorders>
            <w:shd w:val="clear" w:color="auto" w:fill="auto"/>
            <w:vAlign w:val="center"/>
          </w:tcPr>
          <w:p w14:paraId="0B6723D6">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64～45</w:t>
            </w:r>
          </w:p>
        </w:tc>
      </w:tr>
      <w:tr w14:paraId="0E413329">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454" w:hRule="exact"/>
          <w:jc w:val="center"/>
        </w:trPr>
        <w:tc>
          <w:tcPr>
            <w:tcW w:w="2933" w:type="dxa"/>
            <w:vMerge w:val="continue"/>
            <w:tcBorders>
              <w:top w:val="single" w:color="auto" w:sz="6" w:space="0"/>
              <w:bottom w:val="single" w:color="auto" w:sz="6" w:space="0"/>
              <w:right w:val="single" w:color="auto" w:sz="6" w:space="0"/>
            </w:tcBorders>
            <w:shd w:val="clear" w:color="auto" w:fill="auto"/>
            <w:noWrap/>
            <w:vAlign w:val="center"/>
          </w:tcPr>
          <w:p w14:paraId="09F10B6F">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p>
        </w:tc>
        <w:tc>
          <w:tcPr>
            <w:tcW w:w="27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11ED937C">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4.75</w:t>
            </w:r>
          </w:p>
        </w:tc>
        <w:tc>
          <w:tcPr>
            <w:tcW w:w="2773" w:type="dxa"/>
            <w:tcBorders>
              <w:top w:val="single" w:color="auto" w:sz="6" w:space="0"/>
              <w:left w:val="single" w:color="auto" w:sz="6" w:space="0"/>
              <w:bottom w:val="single" w:color="auto" w:sz="6" w:space="0"/>
            </w:tcBorders>
            <w:shd w:val="clear" w:color="auto" w:fill="auto"/>
            <w:vAlign w:val="center"/>
          </w:tcPr>
          <w:p w14:paraId="1EE8806C">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50～30</w:t>
            </w:r>
          </w:p>
        </w:tc>
      </w:tr>
      <w:tr w14:paraId="5EE958C4">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454" w:hRule="exact"/>
          <w:jc w:val="center"/>
        </w:trPr>
        <w:tc>
          <w:tcPr>
            <w:tcW w:w="2933" w:type="dxa"/>
            <w:vMerge w:val="continue"/>
            <w:tcBorders>
              <w:top w:val="single" w:color="auto" w:sz="6" w:space="0"/>
              <w:bottom w:val="single" w:color="auto" w:sz="6" w:space="0"/>
              <w:right w:val="single" w:color="auto" w:sz="6" w:space="0"/>
            </w:tcBorders>
            <w:shd w:val="clear" w:color="auto" w:fill="auto"/>
            <w:noWrap/>
            <w:vAlign w:val="center"/>
          </w:tcPr>
          <w:p w14:paraId="4BD82A93">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p>
        </w:tc>
        <w:tc>
          <w:tcPr>
            <w:tcW w:w="27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152A70FA">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2.36</w:t>
            </w:r>
          </w:p>
        </w:tc>
        <w:tc>
          <w:tcPr>
            <w:tcW w:w="2773" w:type="dxa"/>
            <w:tcBorders>
              <w:top w:val="single" w:color="auto" w:sz="6" w:space="0"/>
              <w:left w:val="single" w:color="auto" w:sz="6" w:space="0"/>
              <w:bottom w:val="single" w:color="auto" w:sz="6" w:space="0"/>
            </w:tcBorders>
            <w:shd w:val="clear" w:color="auto" w:fill="auto"/>
            <w:vAlign w:val="center"/>
          </w:tcPr>
          <w:p w14:paraId="17632917">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36～19</w:t>
            </w:r>
          </w:p>
        </w:tc>
      </w:tr>
      <w:tr w14:paraId="39D6CB6B">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454" w:hRule="exact"/>
          <w:jc w:val="center"/>
        </w:trPr>
        <w:tc>
          <w:tcPr>
            <w:tcW w:w="2933" w:type="dxa"/>
            <w:vMerge w:val="continue"/>
            <w:tcBorders>
              <w:top w:val="single" w:color="auto" w:sz="6" w:space="0"/>
              <w:bottom w:val="single" w:color="auto" w:sz="6" w:space="0"/>
              <w:right w:val="single" w:color="auto" w:sz="6" w:space="0"/>
            </w:tcBorders>
            <w:shd w:val="clear" w:color="auto" w:fill="auto"/>
            <w:noWrap/>
            <w:vAlign w:val="center"/>
          </w:tcPr>
          <w:p w14:paraId="706BDD3A">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p>
        </w:tc>
        <w:tc>
          <w:tcPr>
            <w:tcW w:w="27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62AFD3FD">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1.18</w:t>
            </w:r>
          </w:p>
        </w:tc>
        <w:tc>
          <w:tcPr>
            <w:tcW w:w="2773" w:type="dxa"/>
            <w:tcBorders>
              <w:top w:val="single" w:color="auto" w:sz="6" w:space="0"/>
              <w:left w:val="single" w:color="auto" w:sz="6" w:space="0"/>
              <w:bottom w:val="single" w:color="auto" w:sz="6" w:space="0"/>
            </w:tcBorders>
            <w:shd w:val="clear" w:color="auto" w:fill="auto"/>
            <w:vAlign w:val="center"/>
          </w:tcPr>
          <w:p w14:paraId="38D88440">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26～12</w:t>
            </w:r>
          </w:p>
        </w:tc>
      </w:tr>
      <w:tr w14:paraId="7377AD84">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454" w:hRule="exact"/>
          <w:jc w:val="center"/>
        </w:trPr>
        <w:tc>
          <w:tcPr>
            <w:tcW w:w="2933" w:type="dxa"/>
            <w:vMerge w:val="continue"/>
            <w:tcBorders>
              <w:top w:val="single" w:color="auto" w:sz="6" w:space="0"/>
              <w:bottom w:val="single" w:color="auto" w:sz="6" w:space="0"/>
              <w:right w:val="single" w:color="auto" w:sz="6" w:space="0"/>
            </w:tcBorders>
            <w:shd w:val="clear" w:color="auto" w:fill="auto"/>
            <w:noWrap/>
            <w:vAlign w:val="center"/>
          </w:tcPr>
          <w:p w14:paraId="15593F04">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p>
        </w:tc>
        <w:tc>
          <w:tcPr>
            <w:tcW w:w="27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4A4B78DC">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0.6</w:t>
            </w:r>
          </w:p>
        </w:tc>
        <w:tc>
          <w:tcPr>
            <w:tcW w:w="2773" w:type="dxa"/>
            <w:tcBorders>
              <w:top w:val="single" w:color="auto" w:sz="6" w:space="0"/>
              <w:left w:val="single" w:color="auto" w:sz="6" w:space="0"/>
              <w:bottom w:val="single" w:color="auto" w:sz="6" w:space="0"/>
            </w:tcBorders>
            <w:shd w:val="clear" w:color="auto" w:fill="auto"/>
            <w:vAlign w:val="center"/>
          </w:tcPr>
          <w:p w14:paraId="6CFEF359">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19～8</w:t>
            </w:r>
          </w:p>
        </w:tc>
      </w:tr>
      <w:tr w14:paraId="3E94A1EF">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454" w:hRule="exact"/>
          <w:jc w:val="center"/>
        </w:trPr>
        <w:tc>
          <w:tcPr>
            <w:tcW w:w="2933" w:type="dxa"/>
            <w:vMerge w:val="continue"/>
            <w:tcBorders>
              <w:top w:val="single" w:color="auto" w:sz="6" w:space="0"/>
              <w:bottom w:val="single" w:color="auto" w:sz="6" w:space="0"/>
              <w:right w:val="single" w:color="auto" w:sz="6" w:space="0"/>
            </w:tcBorders>
            <w:shd w:val="clear" w:color="auto" w:fill="auto"/>
            <w:noWrap/>
            <w:vAlign w:val="center"/>
          </w:tcPr>
          <w:p w14:paraId="7444C67D">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p>
        </w:tc>
        <w:tc>
          <w:tcPr>
            <w:tcW w:w="27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288AFA2A">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0.3</w:t>
            </w:r>
          </w:p>
        </w:tc>
        <w:tc>
          <w:tcPr>
            <w:tcW w:w="2773" w:type="dxa"/>
            <w:tcBorders>
              <w:top w:val="single" w:color="auto" w:sz="6" w:space="0"/>
              <w:left w:val="single" w:color="auto" w:sz="6" w:space="0"/>
              <w:bottom w:val="single" w:color="auto" w:sz="6" w:space="0"/>
            </w:tcBorders>
            <w:shd w:val="clear" w:color="auto" w:fill="auto"/>
            <w:vAlign w:val="center"/>
          </w:tcPr>
          <w:p w14:paraId="37009768">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14～5</w:t>
            </w:r>
          </w:p>
        </w:tc>
      </w:tr>
      <w:tr w14:paraId="285C15BB">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454" w:hRule="exact"/>
          <w:jc w:val="center"/>
        </w:trPr>
        <w:tc>
          <w:tcPr>
            <w:tcW w:w="2933" w:type="dxa"/>
            <w:vMerge w:val="continue"/>
            <w:tcBorders>
              <w:top w:val="single" w:color="auto" w:sz="6" w:space="0"/>
              <w:bottom w:val="single" w:color="auto" w:sz="6" w:space="0"/>
              <w:right w:val="single" w:color="auto" w:sz="6" w:space="0"/>
            </w:tcBorders>
            <w:shd w:val="clear" w:color="auto" w:fill="auto"/>
            <w:noWrap/>
            <w:vAlign w:val="center"/>
          </w:tcPr>
          <w:p w14:paraId="1E5F1FAA">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p>
        </w:tc>
        <w:tc>
          <w:tcPr>
            <w:tcW w:w="27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1BC95AC6">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0.15</w:t>
            </w:r>
          </w:p>
        </w:tc>
        <w:tc>
          <w:tcPr>
            <w:tcW w:w="2773" w:type="dxa"/>
            <w:tcBorders>
              <w:top w:val="single" w:color="auto" w:sz="6" w:space="0"/>
              <w:left w:val="single" w:color="auto" w:sz="6" w:space="0"/>
              <w:bottom w:val="single" w:color="auto" w:sz="6" w:space="0"/>
            </w:tcBorders>
            <w:shd w:val="clear" w:color="auto" w:fill="auto"/>
            <w:vAlign w:val="center"/>
          </w:tcPr>
          <w:p w14:paraId="6D1FA61B">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10～3</w:t>
            </w:r>
          </w:p>
        </w:tc>
      </w:tr>
      <w:tr w14:paraId="655ECDD1">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454" w:hRule="exact"/>
          <w:jc w:val="center"/>
        </w:trPr>
        <w:tc>
          <w:tcPr>
            <w:tcW w:w="2933" w:type="dxa"/>
            <w:vMerge w:val="continue"/>
            <w:tcBorders>
              <w:top w:val="single" w:color="auto" w:sz="6" w:space="0"/>
              <w:bottom w:val="single" w:color="auto" w:sz="12" w:space="0"/>
              <w:right w:val="single" w:color="auto" w:sz="6" w:space="0"/>
            </w:tcBorders>
            <w:shd w:val="clear" w:color="auto" w:fill="auto"/>
            <w:noWrap/>
            <w:vAlign w:val="center"/>
          </w:tcPr>
          <w:p w14:paraId="282FA439">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p>
        </w:tc>
        <w:tc>
          <w:tcPr>
            <w:tcW w:w="2776" w:type="dxa"/>
            <w:tcBorders>
              <w:top w:val="single" w:color="auto" w:sz="6" w:space="0"/>
              <w:left w:val="single" w:color="auto" w:sz="6" w:space="0"/>
              <w:bottom w:val="single" w:color="auto" w:sz="12" w:space="0"/>
              <w:right w:val="single" w:color="auto" w:sz="6" w:space="0"/>
            </w:tcBorders>
            <w:shd w:val="clear" w:color="auto" w:fill="auto"/>
            <w:noWrap/>
            <w:vAlign w:val="center"/>
          </w:tcPr>
          <w:p w14:paraId="3B3B28C7">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0.075</w:t>
            </w:r>
          </w:p>
        </w:tc>
        <w:tc>
          <w:tcPr>
            <w:tcW w:w="2773" w:type="dxa"/>
            <w:tcBorders>
              <w:top w:val="single" w:color="auto" w:sz="6" w:space="0"/>
              <w:left w:val="single" w:color="auto" w:sz="6" w:space="0"/>
              <w:bottom w:val="single" w:color="auto" w:sz="12" w:space="0"/>
            </w:tcBorders>
            <w:shd w:val="clear" w:color="auto" w:fill="auto"/>
            <w:vAlign w:val="center"/>
          </w:tcPr>
          <w:p w14:paraId="5CFA24E7">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7～2</w:t>
            </w:r>
          </w:p>
        </w:tc>
      </w:tr>
    </w:tbl>
    <w:p w14:paraId="30C377D2">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水泥稳定</w:t>
      </w:r>
      <w:r>
        <w:rPr>
          <w:rFonts w:hint="eastAsia" w:ascii="宋体" w:hAnsi="宋体" w:cs="宋体"/>
          <w:sz w:val="24"/>
          <w:lang w:eastAsia="zh-CN"/>
        </w:rPr>
        <w:t>砂砾</w:t>
      </w:r>
      <w:r>
        <w:rPr>
          <w:rFonts w:hint="eastAsia" w:ascii="宋体" w:hAnsi="宋体" w:cs="宋体"/>
          <w:sz w:val="24"/>
        </w:rPr>
        <w:t>中细集料应洁净、干燥、无风化、无杂质、并有适当的级配；其技术要求应满足《公路路面基层施工技术细则》(JTG∕T F20-2015)表3.7.2的要求；细集料的规格应符合《公路路面基层施工技术细则》(JTG∕T F20-2015)表3.7.3的要求；细集料中小于0.075mm的颗粒含量应不大于20%。</w:t>
      </w:r>
    </w:p>
    <w:p w14:paraId="5A789007">
      <w:pPr>
        <w:keepNext w:val="0"/>
        <w:keepLines w:val="0"/>
        <w:pageBreakBefore w:val="0"/>
        <w:kinsoku/>
        <w:wordWrap/>
        <w:overflowPunct/>
        <w:topLinePunct w:val="0"/>
        <w:autoSpaceDE/>
        <w:autoSpaceDN/>
        <w:bidi w:val="0"/>
        <w:snapToGrid/>
        <w:spacing w:line="288" w:lineRule="auto"/>
        <w:ind w:firstLine="482" w:firstLineChars="200"/>
        <w:textAlignment w:val="auto"/>
        <w:rPr>
          <w:rFonts w:ascii="宋体" w:hAnsi="宋体"/>
          <w:b/>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b/>
          <w:sz w:val="24"/>
        </w:rPr>
        <w:t>.</w:t>
      </w:r>
      <w:r>
        <w:rPr>
          <w:rFonts w:ascii="宋体" w:hAnsi="宋体"/>
          <w:b/>
          <w:sz w:val="24"/>
        </w:rPr>
        <w:t>8.2</w:t>
      </w:r>
      <w:r>
        <w:rPr>
          <w:rFonts w:hint="eastAsia" w:ascii="宋体" w:hAnsi="宋体"/>
          <w:b/>
          <w:sz w:val="24"/>
        </w:rPr>
        <w:t>水泥</w:t>
      </w:r>
    </w:p>
    <w:p w14:paraId="71E7B1F9">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采用《公路路面基层施工技术细则》(JTG∕T F20-2015)要求的水泥。</w:t>
      </w:r>
    </w:p>
    <w:tbl>
      <w:tblPr>
        <w:tblStyle w:val="8"/>
        <w:tblW w:w="875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3425"/>
        <w:gridCol w:w="5329"/>
      </w:tblGrid>
      <w:tr w14:paraId="4ADCB1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8754" w:type="dxa"/>
            <w:gridSpan w:val="2"/>
            <w:tcBorders>
              <w:top w:val="nil"/>
              <w:left w:val="nil"/>
              <w:bottom w:val="single" w:color="auto" w:sz="12" w:space="0"/>
              <w:right w:val="nil"/>
            </w:tcBorders>
            <w:shd w:val="clear" w:color="auto" w:fill="auto"/>
            <w:noWrap/>
            <w:vAlign w:val="center"/>
          </w:tcPr>
          <w:p w14:paraId="08F0524B">
            <w:pPr>
              <w:keepNext w:val="0"/>
              <w:keepLines w:val="0"/>
              <w:pageBreakBefore w:val="0"/>
              <w:kinsoku/>
              <w:wordWrap/>
              <w:overflowPunct/>
              <w:topLinePunct w:val="0"/>
              <w:autoSpaceDE/>
              <w:autoSpaceDN/>
              <w:bidi w:val="0"/>
              <w:snapToGrid/>
              <w:spacing w:line="288" w:lineRule="auto"/>
              <w:ind w:firstLine="480" w:firstLineChars="200"/>
              <w:jc w:val="center"/>
              <w:textAlignment w:val="auto"/>
              <w:rPr>
                <w:rFonts w:ascii="宋体" w:hAnsi="宋体"/>
                <w:bCs/>
                <w:sz w:val="24"/>
              </w:rPr>
            </w:pPr>
            <w:r>
              <w:rPr>
                <w:rFonts w:hint="eastAsia" w:ascii="宋体" w:hAnsi="宋体"/>
                <w:bCs/>
                <w:sz w:val="24"/>
              </w:rPr>
              <w:t>水泥技术标准</w:t>
            </w:r>
          </w:p>
        </w:tc>
      </w:tr>
      <w:tr w14:paraId="0672F8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3425" w:type="dxa"/>
            <w:tcBorders>
              <w:top w:val="single" w:color="auto" w:sz="12" w:space="0"/>
              <w:bottom w:val="single" w:color="auto" w:sz="6" w:space="0"/>
              <w:right w:val="single" w:color="auto" w:sz="6" w:space="0"/>
            </w:tcBorders>
            <w:shd w:val="clear" w:color="auto" w:fill="auto"/>
            <w:noWrap/>
            <w:vAlign w:val="center"/>
          </w:tcPr>
          <w:p w14:paraId="531A31B5">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氧化镁</w:t>
            </w:r>
          </w:p>
        </w:tc>
        <w:tc>
          <w:tcPr>
            <w:tcW w:w="5329" w:type="dxa"/>
            <w:tcBorders>
              <w:top w:val="single" w:color="auto" w:sz="12" w:space="0"/>
              <w:left w:val="single" w:color="auto" w:sz="6" w:space="0"/>
              <w:bottom w:val="single" w:color="auto" w:sz="6" w:space="0"/>
            </w:tcBorders>
            <w:shd w:val="clear" w:color="auto" w:fill="auto"/>
            <w:noWrap/>
            <w:vAlign w:val="center"/>
          </w:tcPr>
          <w:p w14:paraId="01AF9135">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不大于5％</w:t>
            </w:r>
          </w:p>
        </w:tc>
      </w:tr>
      <w:tr w14:paraId="130E5E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3425" w:type="dxa"/>
            <w:tcBorders>
              <w:top w:val="single" w:color="auto" w:sz="6" w:space="0"/>
              <w:bottom w:val="single" w:color="auto" w:sz="6" w:space="0"/>
              <w:right w:val="single" w:color="auto" w:sz="6" w:space="0"/>
            </w:tcBorders>
            <w:shd w:val="clear" w:color="auto" w:fill="auto"/>
            <w:noWrap/>
            <w:vAlign w:val="center"/>
          </w:tcPr>
          <w:p w14:paraId="6693E73B">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三氧化硫</w:t>
            </w:r>
          </w:p>
        </w:tc>
        <w:tc>
          <w:tcPr>
            <w:tcW w:w="5329" w:type="dxa"/>
            <w:tcBorders>
              <w:top w:val="single" w:color="auto" w:sz="6" w:space="0"/>
              <w:left w:val="single" w:color="auto" w:sz="6" w:space="0"/>
              <w:bottom w:val="single" w:color="auto" w:sz="6" w:space="0"/>
            </w:tcBorders>
            <w:shd w:val="clear" w:color="auto" w:fill="auto"/>
            <w:noWrap/>
            <w:vAlign w:val="center"/>
          </w:tcPr>
          <w:p w14:paraId="0006B8CC">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不大于3.5％</w:t>
            </w:r>
          </w:p>
        </w:tc>
      </w:tr>
      <w:tr w14:paraId="063EBE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3425" w:type="dxa"/>
            <w:tcBorders>
              <w:top w:val="single" w:color="auto" w:sz="6" w:space="0"/>
              <w:bottom w:val="single" w:color="auto" w:sz="6" w:space="0"/>
              <w:right w:val="single" w:color="auto" w:sz="6" w:space="0"/>
            </w:tcBorders>
            <w:shd w:val="clear" w:color="auto" w:fill="auto"/>
            <w:noWrap/>
            <w:vAlign w:val="center"/>
          </w:tcPr>
          <w:p w14:paraId="75E13386">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烧失量</w:t>
            </w:r>
          </w:p>
        </w:tc>
        <w:tc>
          <w:tcPr>
            <w:tcW w:w="5329" w:type="dxa"/>
            <w:tcBorders>
              <w:top w:val="single" w:color="auto" w:sz="6" w:space="0"/>
              <w:left w:val="single" w:color="auto" w:sz="6" w:space="0"/>
              <w:bottom w:val="single" w:color="auto" w:sz="6" w:space="0"/>
            </w:tcBorders>
            <w:shd w:val="clear" w:color="auto" w:fill="auto"/>
            <w:noWrap/>
            <w:vAlign w:val="center"/>
          </w:tcPr>
          <w:p w14:paraId="7CA317A0">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不大于3％</w:t>
            </w:r>
          </w:p>
        </w:tc>
      </w:tr>
      <w:tr w14:paraId="28BD61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3425" w:type="dxa"/>
            <w:tcBorders>
              <w:top w:val="single" w:color="auto" w:sz="6" w:space="0"/>
              <w:bottom w:val="single" w:color="auto" w:sz="6" w:space="0"/>
              <w:right w:val="single" w:color="auto" w:sz="6" w:space="0"/>
            </w:tcBorders>
            <w:shd w:val="clear" w:color="auto" w:fill="auto"/>
            <w:noWrap/>
            <w:vAlign w:val="center"/>
          </w:tcPr>
          <w:p w14:paraId="64242357">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比表面积</w:t>
            </w:r>
          </w:p>
        </w:tc>
        <w:tc>
          <w:tcPr>
            <w:tcW w:w="5329" w:type="dxa"/>
            <w:tcBorders>
              <w:top w:val="single" w:color="auto" w:sz="6" w:space="0"/>
              <w:left w:val="single" w:color="auto" w:sz="6" w:space="0"/>
              <w:bottom w:val="single" w:color="auto" w:sz="6" w:space="0"/>
            </w:tcBorders>
            <w:shd w:val="clear" w:color="auto" w:fill="auto"/>
            <w:noWrap/>
            <w:vAlign w:val="center"/>
          </w:tcPr>
          <w:p w14:paraId="5349B3F7">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300 m</w:t>
            </w:r>
            <w:r>
              <w:rPr>
                <w:rFonts w:hint="eastAsia" w:ascii="宋体" w:hAnsi="宋体"/>
                <w:sz w:val="24"/>
                <w:vertAlign w:val="superscript"/>
              </w:rPr>
              <w:t>2</w:t>
            </w:r>
            <w:r>
              <w:rPr>
                <w:rFonts w:hint="eastAsia" w:ascii="宋体" w:hAnsi="宋体"/>
                <w:sz w:val="24"/>
              </w:rPr>
              <w:t>/kg～450 m</w:t>
            </w:r>
            <w:r>
              <w:rPr>
                <w:rFonts w:hint="eastAsia" w:ascii="宋体" w:hAnsi="宋体"/>
                <w:sz w:val="24"/>
                <w:vertAlign w:val="superscript"/>
              </w:rPr>
              <w:t>2</w:t>
            </w:r>
            <w:r>
              <w:rPr>
                <w:rFonts w:hint="eastAsia" w:ascii="宋体" w:hAnsi="宋体"/>
                <w:sz w:val="24"/>
              </w:rPr>
              <w:t>/kg</w:t>
            </w:r>
          </w:p>
        </w:tc>
      </w:tr>
      <w:tr w14:paraId="565D89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3425" w:type="dxa"/>
            <w:tcBorders>
              <w:top w:val="single" w:color="auto" w:sz="6" w:space="0"/>
              <w:bottom w:val="single" w:color="auto" w:sz="6" w:space="0"/>
              <w:right w:val="single" w:color="auto" w:sz="6" w:space="0"/>
            </w:tcBorders>
            <w:shd w:val="clear" w:color="auto" w:fill="auto"/>
            <w:noWrap/>
            <w:vAlign w:val="center"/>
          </w:tcPr>
          <w:p w14:paraId="12362CE8">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安定性</w:t>
            </w:r>
          </w:p>
        </w:tc>
        <w:tc>
          <w:tcPr>
            <w:tcW w:w="5329" w:type="dxa"/>
            <w:tcBorders>
              <w:top w:val="single" w:color="auto" w:sz="6" w:space="0"/>
              <w:left w:val="single" w:color="auto" w:sz="6" w:space="0"/>
              <w:bottom w:val="single" w:color="auto" w:sz="6" w:space="0"/>
            </w:tcBorders>
            <w:shd w:val="clear" w:color="auto" w:fill="auto"/>
            <w:noWrap/>
            <w:vAlign w:val="center"/>
          </w:tcPr>
          <w:p w14:paraId="5227F349">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雷氏法必须合格</w:t>
            </w:r>
          </w:p>
        </w:tc>
      </w:tr>
      <w:tr w14:paraId="68EC8D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3425" w:type="dxa"/>
            <w:tcBorders>
              <w:top w:val="single" w:color="auto" w:sz="6" w:space="0"/>
              <w:bottom w:val="single" w:color="auto" w:sz="6" w:space="0"/>
              <w:right w:val="single" w:color="auto" w:sz="6" w:space="0"/>
            </w:tcBorders>
            <w:shd w:val="clear" w:color="auto" w:fill="auto"/>
            <w:noWrap/>
            <w:vAlign w:val="center"/>
          </w:tcPr>
          <w:p w14:paraId="12584010">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干缩率</w:t>
            </w:r>
          </w:p>
        </w:tc>
        <w:tc>
          <w:tcPr>
            <w:tcW w:w="5329" w:type="dxa"/>
            <w:tcBorders>
              <w:top w:val="single" w:color="auto" w:sz="6" w:space="0"/>
              <w:left w:val="single" w:color="auto" w:sz="6" w:space="0"/>
              <w:bottom w:val="single" w:color="auto" w:sz="6" w:space="0"/>
            </w:tcBorders>
            <w:shd w:val="clear" w:color="auto" w:fill="auto"/>
            <w:noWrap/>
            <w:vAlign w:val="center"/>
          </w:tcPr>
          <w:p w14:paraId="131A6B31">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28d值不大于0.1％</w:t>
            </w:r>
          </w:p>
        </w:tc>
      </w:tr>
      <w:tr w14:paraId="3804C5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3425" w:type="dxa"/>
            <w:tcBorders>
              <w:top w:val="single" w:color="auto" w:sz="6" w:space="0"/>
              <w:bottom w:val="single" w:color="auto" w:sz="12" w:space="0"/>
              <w:right w:val="single" w:color="auto" w:sz="6" w:space="0"/>
            </w:tcBorders>
            <w:shd w:val="clear" w:color="auto" w:fill="auto"/>
            <w:noWrap/>
            <w:vAlign w:val="center"/>
          </w:tcPr>
          <w:p w14:paraId="485DF3B4">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耐磨性</w:t>
            </w:r>
          </w:p>
        </w:tc>
        <w:tc>
          <w:tcPr>
            <w:tcW w:w="5329" w:type="dxa"/>
            <w:tcBorders>
              <w:top w:val="single" w:color="auto" w:sz="6" w:space="0"/>
              <w:left w:val="single" w:color="auto" w:sz="6" w:space="0"/>
              <w:bottom w:val="single" w:color="auto" w:sz="12" w:space="0"/>
            </w:tcBorders>
            <w:shd w:val="clear" w:color="auto" w:fill="auto"/>
            <w:noWrap/>
            <w:vAlign w:val="center"/>
          </w:tcPr>
          <w:p w14:paraId="01AFFB18">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28d值不大于3kg/ m</w:t>
            </w:r>
            <w:r>
              <w:rPr>
                <w:rFonts w:hint="eastAsia" w:ascii="宋体" w:hAnsi="宋体"/>
                <w:sz w:val="24"/>
                <w:vertAlign w:val="superscript"/>
              </w:rPr>
              <w:t>2</w:t>
            </w:r>
          </w:p>
        </w:tc>
      </w:tr>
    </w:tbl>
    <w:p w14:paraId="0496456D">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(1)水泥安定性合格，应为水泥出磨机安定合格，非陈放一定时间后水泥安定性合格；</w:t>
      </w:r>
    </w:p>
    <w:p w14:paraId="051127D1">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(2)安定性合格的水泥，游离氧化钙的含量不宜超过1.5％；</w:t>
      </w:r>
    </w:p>
    <w:p w14:paraId="68100F07">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)凝结时间，应选用初凝时间3h以上，终凝时间应大于6h且小于10h；</w:t>
      </w:r>
    </w:p>
    <w:p w14:paraId="0F34C8C4">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w:t>
      </w:r>
      <w:r>
        <w:rPr>
          <w:rFonts w:ascii="宋体" w:hAnsi="宋体"/>
          <w:sz w:val="24"/>
        </w:rPr>
        <w:t>4</w:t>
      </w:r>
      <w:r>
        <w:rPr>
          <w:rFonts w:hint="eastAsia" w:ascii="宋体" w:hAnsi="宋体"/>
          <w:sz w:val="24"/>
        </w:rPr>
        <w:t>)快硬水泥、早强水泥及受潮变质水泥不得使用，库存超过3个月，未经批准，不得使用。</w:t>
      </w:r>
    </w:p>
    <w:p w14:paraId="4290331F">
      <w:pPr>
        <w:keepNext w:val="0"/>
        <w:keepLines w:val="0"/>
        <w:pageBreakBefore w:val="0"/>
        <w:kinsoku/>
        <w:wordWrap/>
        <w:overflowPunct/>
        <w:topLinePunct w:val="0"/>
        <w:autoSpaceDE/>
        <w:autoSpaceDN/>
        <w:bidi w:val="0"/>
        <w:snapToGrid/>
        <w:spacing w:line="288" w:lineRule="auto"/>
        <w:ind w:firstLine="482" w:firstLineChars="200"/>
        <w:textAlignment w:val="auto"/>
        <w:rPr>
          <w:rFonts w:ascii="宋体" w:hAnsi="宋体"/>
          <w:b/>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b/>
          <w:sz w:val="24"/>
        </w:rPr>
        <w:t>.</w:t>
      </w:r>
      <w:r>
        <w:rPr>
          <w:rFonts w:ascii="宋体" w:hAnsi="宋体"/>
          <w:b/>
          <w:sz w:val="24"/>
        </w:rPr>
        <w:t>8.</w:t>
      </w:r>
      <w:r>
        <w:rPr>
          <w:rFonts w:hint="eastAsia" w:ascii="宋体" w:hAnsi="宋体"/>
          <w:b/>
          <w:sz w:val="24"/>
        </w:rPr>
        <w:t>3水</w:t>
      </w:r>
    </w:p>
    <w:p w14:paraId="505111B6">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凡饮用水均可以用于基层的施工，遇有可疑水源，应进行试验鉴定，且满足交通运输部《公路路面基层施工技术细则》(JTG∕T F20-2015)表3.5.2的要求。</w:t>
      </w:r>
    </w:p>
    <w:p w14:paraId="3F133420">
      <w:pPr>
        <w:keepNext w:val="0"/>
        <w:keepLines w:val="0"/>
        <w:pageBreakBefore w:val="0"/>
        <w:kinsoku/>
        <w:wordWrap/>
        <w:overflowPunct/>
        <w:topLinePunct w:val="0"/>
        <w:autoSpaceDE/>
        <w:autoSpaceDN/>
        <w:bidi w:val="0"/>
        <w:snapToGrid/>
        <w:spacing w:line="288" w:lineRule="auto"/>
        <w:ind w:firstLine="482" w:firstLineChars="200"/>
        <w:textAlignment w:val="auto"/>
        <w:rPr>
          <w:rFonts w:ascii="宋体" w:hAnsi="宋体"/>
          <w:b/>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b/>
          <w:sz w:val="24"/>
        </w:rPr>
        <w:t>.</w:t>
      </w:r>
      <w:r>
        <w:rPr>
          <w:rFonts w:ascii="宋体" w:hAnsi="宋体"/>
          <w:b/>
          <w:sz w:val="24"/>
        </w:rPr>
        <w:t>8.</w:t>
      </w:r>
      <w:r>
        <w:rPr>
          <w:rFonts w:hint="eastAsia" w:ascii="宋体" w:hAnsi="宋体"/>
          <w:b/>
          <w:sz w:val="24"/>
        </w:rPr>
        <w:t>4混合料的技术要求</w:t>
      </w:r>
    </w:p>
    <w:p w14:paraId="6983B4D3">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(1)水泥稳定</w:t>
      </w:r>
      <w:r>
        <w:rPr>
          <w:rFonts w:hint="eastAsia" w:ascii="宋体" w:hAnsi="宋体"/>
          <w:sz w:val="24"/>
          <w:lang w:eastAsia="zh-CN"/>
        </w:rPr>
        <w:t>砂砾</w:t>
      </w:r>
      <w:r>
        <w:rPr>
          <w:rFonts w:hint="eastAsia" w:ascii="宋体" w:hAnsi="宋体"/>
          <w:sz w:val="24"/>
        </w:rPr>
        <w:t>基层混合料采用厂拌法拌和。水泥稳定</w:t>
      </w:r>
      <w:r>
        <w:rPr>
          <w:rFonts w:hint="eastAsia" w:ascii="宋体" w:hAnsi="宋体"/>
          <w:sz w:val="24"/>
          <w:lang w:eastAsia="zh-CN"/>
        </w:rPr>
        <w:t>砂砾</w:t>
      </w:r>
      <w:r>
        <w:rPr>
          <w:rFonts w:hint="eastAsia" w:ascii="宋体" w:hAnsi="宋体"/>
          <w:sz w:val="24"/>
        </w:rPr>
        <w:t>基层7天无侧限抗压强度代表值应满足下表要求、压实度不小于97%。</w:t>
      </w:r>
    </w:p>
    <w:p w14:paraId="5433ACA7">
      <w:pPr>
        <w:keepNext w:val="0"/>
        <w:keepLines w:val="0"/>
        <w:pageBreakBefore w:val="0"/>
        <w:kinsoku/>
        <w:wordWrap/>
        <w:overflowPunct/>
        <w:topLinePunct w:val="0"/>
        <w:autoSpaceDE/>
        <w:autoSpaceDN/>
        <w:bidi w:val="0"/>
        <w:snapToGrid/>
        <w:spacing w:line="288" w:lineRule="auto"/>
        <w:jc w:val="center"/>
        <w:textAlignment w:val="auto"/>
        <w:rPr>
          <w:rFonts w:ascii="宋体" w:hAnsi="宋体"/>
          <w:bCs/>
          <w:sz w:val="24"/>
        </w:rPr>
      </w:pPr>
      <w:r>
        <w:rPr>
          <w:rFonts w:hint="eastAsia" w:ascii="宋体" w:hAnsi="宋体"/>
          <w:bCs/>
          <w:sz w:val="24"/>
        </w:rPr>
        <w:t>水泥稳定材料的7d龄期无侧限抗压强度标准R</w:t>
      </w:r>
      <w:r>
        <w:rPr>
          <w:rFonts w:hint="eastAsia" w:ascii="宋体" w:hAnsi="宋体"/>
          <w:bCs/>
          <w:sz w:val="24"/>
          <w:vertAlign w:val="subscript"/>
        </w:rPr>
        <w:t>d</w:t>
      </w:r>
      <w:r>
        <w:rPr>
          <w:rFonts w:hint="eastAsia" w:ascii="宋体" w:hAnsi="宋体"/>
          <w:bCs/>
          <w:sz w:val="24"/>
        </w:rPr>
        <w:t>(Mpa)</w:t>
      </w:r>
    </w:p>
    <w:tbl>
      <w:tblPr>
        <w:tblStyle w:val="8"/>
        <w:tblW w:w="808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904"/>
        <w:gridCol w:w="2663"/>
        <w:gridCol w:w="2517"/>
      </w:tblGrid>
      <w:tr w14:paraId="3CF311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2904" w:type="dxa"/>
            <w:tcBorders>
              <w:top w:val="single" w:color="auto" w:sz="12" w:space="0"/>
              <w:bottom w:val="single" w:color="auto" w:sz="6" w:space="0"/>
            </w:tcBorders>
            <w:shd w:val="clear" w:color="auto" w:fill="auto"/>
            <w:noWrap/>
            <w:vAlign w:val="center"/>
          </w:tcPr>
          <w:p w14:paraId="56C69CB5">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结构层</w:t>
            </w:r>
          </w:p>
        </w:tc>
        <w:tc>
          <w:tcPr>
            <w:tcW w:w="2663" w:type="dxa"/>
            <w:tcBorders>
              <w:top w:val="single" w:color="auto" w:sz="12" w:space="0"/>
              <w:bottom w:val="single" w:color="auto" w:sz="6" w:space="0"/>
            </w:tcBorders>
            <w:shd w:val="clear" w:color="auto" w:fill="auto"/>
            <w:noWrap/>
            <w:vAlign w:val="center"/>
          </w:tcPr>
          <w:p w14:paraId="13BDA49B">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公路等级</w:t>
            </w:r>
          </w:p>
        </w:tc>
        <w:tc>
          <w:tcPr>
            <w:tcW w:w="2517" w:type="dxa"/>
            <w:tcBorders>
              <w:top w:val="single" w:color="auto" w:sz="12" w:space="0"/>
              <w:bottom w:val="single" w:color="auto" w:sz="6" w:space="0"/>
            </w:tcBorders>
            <w:vAlign w:val="center"/>
          </w:tcPr>
          <w:p w14:paraId="4AF34933">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中、轻交通</w:t>
            </w:r>
          </w:p>
        </w:tc>
      </w:tr>
      <w:tr w14:paraId="14161B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2904" w:type="dxa"/>
            <w:tcBorders>
              <w:top w:val="single" w:color="auto" w:sz="6" w:space="0"/>
              <w:bottom w:val="single" w:color="auto" w:sz="12" w:space="0"/>
            </w:tcBorders>
            <w:shd w:val="clear" w:color="auto" w:fill="auto"/>
            <w:noWrap/>
            <w:vAlign w:val="center"/>
          </w:tcPr>
          <w:p w14:paraId="3B6D686B">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基层</w:t>
            </w:r>
          </w:p>
        </w:tc>
        <w:tc>
          <w:tcPr>
            <w:tcW w:w="2663" w:type="dxa"/>
            <w:tcBorders>
              <w:top w:val="single" w:color="auto" w:sz="6" w:space="0"/>
              <w:bottom w:val="single" w:color="auto" w:sz="12" w:space="0"/>
            </w:tcBorders>
            <w:shd w:val="clear" w:color="auto" w:fill="auto"/>
            <w:noWrap/>
            <w:vAlign w:val="center"/>
          </w:tcPr>
          <w:p w14:paraId="64A0C590">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等外</w:t>
            </w:r>
          </w:p>
        </w:tc>
        <w:tc>
          <w:tcPr>
            <w:tcW w:w="2517" w:type="dxa"/>
            <w:tcBorders>
              <w:top w:val="single" w:color="auto" w:sz="6" w:space="0"/>
              <w:bottom w:val="single" w:color="auto" w:sz="12" w:space="0"/>
            </w:tcBorders>
            <w:vAlign w:val="center"/>
          </w:tcPr>
          <w:p w14:paraId="08CF402E">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2～4</w:t>
            </w:r>
          </w:p>
        </w:tc>
      </w:tr>
    </w:tbl>
    <w:p w14:paraId="213570FC">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(2)混合料的配合比</w:t>
      </w:r>
    </w:p>
    <w:p w14:paraId="38655041">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根据试验结果，本设计推荐的水泥稳定</w:t>
      </w:r>
      <w:r>
        <w:rPr>
          <w:rFonts w:hint="eastAsia" w:ascii="宋体" w:hAnsi="宋体"/>
          <w:sz w:val="24"/>
          <w:lang w:eastAsia="zh-CN"/>
        </w:rPr>
        <w:t>砂砾</w:t>
      </w:r>
      <w:r>
        <w:rPr>
          <w:rFonts w:hint="eastAsia" w:ascii="宋体" w:hAnsi="宋体"/>
          <w:sz w:val="24"/>
        </w:rPr>
        <w:t>基层配合比: 水泥：</w:t>
      </w:r>
      <w:r>
        <w:rPr>
          <w:rFonts w:hint="eastAsia" w:ascii="宋体" w:hAnsi="宋体"/>
          <w:sz w:val="24"/>
          <w:lang w:eastAsia="zh-CN"/>
        </w:rPr>
        <w:t>砂砾</w:t>
      </w:r>
      <w:r>
        <w:rPr>
          <w:rFonts w:hint="eastAsia" w:ascii="宋体" w:hAnsi="宋体"/>
          <w:sz w:val="24"/>
        </w:rPr>
        <w:t>＝5：95。</w:t>
      </w:r>
    </w:p>
    <w:p w14:paraId="1E39C963">
      <w:pPr>
        <w:keepNext w:val="0"/>
        <w:keepLines w:val="0"/>
        <w:pageBreakBefore w:val="0"/>
        <w:kinsoku/>
        <w:wordWrap/>
        <w:overflowPunct/>
        <w:topLinePunct w:val="0"/>
        <w:autoSpaceDE/>
        <w:autoSpaceDN/>
        <w:bidi w:val="0"/>
        <w:snapToGrid/>
        <w:spacing w:line="288" w:lineRule="auto"/>
        <w:ind w:firstLine="480" w:firstLineChars="200"/>
        <w:textAlignment w:val="auto"/>
        <w:rPr>
          <w:rFonts w:hint="eastAsia" w:ascii="宋体" w:hAnsi="宋体"/>
          <w:sz w:val="24"/>
        </w:rPr>
      </w:pPr>
      <w:r>
        <w:rPr>
          <w:rFonts w:hint="eastAsia" w:ascii="宋体" w:hAnsi="宋体"/>
          <w:sz w:val="24"/>
        </w:rPr>
        <w:t>在施工前，施工单位应根据《公路路面基层施工技术细则》(JTG∕T F20-2015)的有关规定进行配合比设计，以选取满足质量要求的、更加经济合理的配合比。水泥稳定</w:t>
      </w:r>
      <w:r>
        <w:rPr>
          <w:rFonts w:hint="eastAsia" w:ascii="宋体" w:hAnsi="宋体"/>
          <w:sz w:val="24"/>
          <w:lang w:eastAsia="zh-CN"/>
        </w:rPr>
        <w:t>砂砾</w:t>
      </w:r>
      <w:r>
        <w:rPr>
          <w:rFonts w:hint="eastAsia" w:ascii="宋体" w:hAnsi="宋体"/>
          <w:sz w:val="24"/>
        </w:rPr>
        <w:t>配合比的各项试验，应按《公路工程无机结合料稳定材料试验规程》(</w:t>
      </w:r>
      <w:r>
        <w:rPr>
          <w:rFonts w:ascii="宋体" w:hAnsi="宋体"/>
          <w:sz w:val="24"/>
        </w:rPr>
        <w:t>JTG E51</w:t>
      </w:r>
      <w:r>
        <w:rPr>
          <w:rFonts w:hint="eastAsia" w:ascii="宋体" w:hAnsi="宋体"/>
          <w:sz w:val="24"/>
        </w:rPr>
        <w:t>—</w:t>
      </w:r>
      <w:r>
        <w:rPr>
          <w:rFonts w:ascii="宋体" w:hAnsi="宋体"/>
          <w:sz w:val="24"/>
        </w:rPr>
        <w:t>2009</w:t>
      </w:r>
      <w:r>
        <w:rPr>
          <w:rFonts w:hint="eastAsia" w:ascii="宋体" w:hAnsi="宋体"/>
          <w:sz w:val="24"/>
        </w:rPr>
        <w:t>)进行。</w:t>
      </w:r>
    </w:p>
    <w:p w14:paraId="69D24C08">
      <w:pPr>
        <w:keepNext w:val="0"/>
        <w:keepLines w:val="0"/>
        <w:pageBreakBefore w:val="0"/>
        <w:kinsoku/>
        <w:wordWrap/>
        <w:overflowPunct/>
        <w:topLinePunct w:val="0"/>
        <w:autoSpaceDE/>
        <w:autoSpaceDN/>
        <w:bidi w:val="0"/>
        <w:adjustRightInd w:val="0"/>
        <w:snapToGrid/>
        <w:spacing w:line="288" w:lineRule="auto"/>
        <w:ind w:right="53" w:rightChars="25" w:firstLine="498" w:firstLineChars="200"/>
        <w:textAlignment w:val="auto"/>
        <w:outlineLvl w:val="0"/>
        <w:rPr>
          <w:rFonts w:hint="eastAsia" w:ascii="宋体" w:hAnsi="宋体" w:eastAsia="宋体" w:cs="宋体"/>
          <w:b/>
          <w:spacing w:val="4"/>
          <w:sz w:val="24"/>
          <w:szCs w:val="24"/>
        </w:rPr>
      </w:pPr>
      <w:r>
        <w:rPr>
          <w:rFonts w:hint="eastAsia" w:ascii="宋体" w:hAnsi="宋体" w:eastAsia="宋体" w:cs="宋体"/>
          <w:b/>
          <w:spacing w:val="4"/>
          <w:sz w:val="24"/>
          <w:szCs w:val="24"/>
        </w:rPr>
        <w:t>4.5桥梁涵洞</w:t>
      </w:r>
    </w:p>
    <w:p w14:paraId="19B907F0">
      <w:pPr>
        <w:keepNext w:val="0"/>
        <w:keepLines w:val="0"/>
        <w:pageBreakBefore w:val="0"/>
        <w:kinsoku/>
        <w:wordWrap/>
        <w:overflowPunct/>
        <w:topLinePunct w:val="0"/>
        <w:autoSpaceDE/>
        <w:autoSpaceDN/>
        <w:bidi w:val="0"/>
        <w:snapToGrid/>
        <w:spacing w:line="288"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rPr>
        <w:t>为了方便道路两侧路边沟排水，在K3+683</w:t>
      </w:r>
      <w:r>
        <w:rPr>
          <w:rFonts w:hint="eastAsia" w:ascii="宋体" w:hAnsi="宋体" w:eastAsia="宋体" w:cs="Times New Roman"/>
          <w:sz w:val="24"/>
          <w:lang w:eastAsia="zh-CN"/>
        </w:rPr>
        <w:t>、K3+780</w:t>
      </w:r>
      <w:r>
        <w:rPr>
          <w:rFonts w:hint="eastAsia" w:ascii="宋体" w:hAnsi="宋体" w:eastAsia="宋体" w:cs="Times New Roman"/>
          <w:sz w:val="24"/>
        </w:rPr>
        <w:t>处</w:t>
      </w:r>
      <w:r>
        <w:rPr>
          <w:rFonts w:hint="eastAsia" w:ascii="宋体" w:hAnsi="宋体" w:eastAsia="宋体" w:cs="Times New Roman"/>
          <w:sz w:val="24"/>
          <w:lang w:val="en-US" w:eastAsia="zh-CN"/>
        </w:rPr>
        <w:t>分别</w:t>
      </w:r>
      <w:r>
        <w:rPr>
          <w:rFonts w:hint="eastAsia" w:ascii="宋体" w:hAnsi="宋体" w:eastAsia="宋体" w:cs="Times New Roman"/>
          <w:sz w:val="24"/>
        </w:rPr>
        <w:t>设置一道直径</w:t>
      </w:r>
      <w:r>
        <w:rPr>
          <w:rFonts w:hint="eastAsia" w:ascii="宋体" w:hAnsi="宋体" w:eastAsia="宋体" w:cs="Times New Roman"/>
          <w:sz w:val="24"/>
          <w:lang w:val="en-US" w:eastAsia="zh-CN"/>
        </w:rPr>
        <w:t>60</w:t>
      </w:r>
      <w:r>
        <w:rPr>
          <w:rFonts w:hint="eastAsia" w:ascii="宋体" w:hAnsi="宋体" w:eastAsia="宋体" w:cs="Times New Roman"/>
          <w:sz w:val="24"/>
        </w:rPr>
        <w:t>厘米的钢筋混凝土圆管涵。</w:t>
      </w:r>
    </w:p>
    <w:p w14:paraId="1D38BDAB">
      <w:pPr>
        <w:keepNext w:val="0"/>
        <w:keepLines w:val="0"/>
        <w:pageBreakBefore w:val="0"/>
        <w:kinsoku/>
        <w:wordWrap/>
        <w:overflowPunct/>
        <w:topLinePunct w:val="0"/>
        <w:autoSpaceDE/>
        <w:autoSpaceDN/>
        <w:bidi w:val="0"/>
        <w:snapToGrid/>
        <w:spacing w:line="288" w:lineRule="auto"/>
        <w:ind w:firstLine="480" w:firstLineChars="200"/>
        <w:textAlignment w:val="auto"/>
        <w:rPr>
          <w:rFonts w:hint="eastAsia" w:ascii="宋体" w:hAnsi="宋体" w:eastAsia="宋体" w:cs="Times New Roman"/>
          <w:sz w:val="24"/>
          <w:lang w:val="en-US" w:eastAsia="zh-CN"/>
        </w:rPr>
      </w:pPr>
      <w:r>
        <w:rPr>
          <w:rFonts w:hint="eastAsia" w:ascii="宋体" w:hAnsi="宋体" w:eastAsia="宋体" w:cs="Times New Roman"/>
          <w:sz w:val="24"/>
          <w:lang w:val="en-US" w:eastAsia="zh-CN"/>
        </w:rPr>
        <w:t>直径60厘米圆管涵基础采用C20混凝土基础，管上铺设C30钢筋混凝土盖板，板厚10厘米。</w:t>
      </w:r>
    </w:p>
    <w:p w14:paraId="62BCF170">
      <w:pPr>
        <w:keepNext w:val="0"/>
        <w:keepLines w:val="0"/>
        <w:pageBreakBefore w:val="0"/>
        <w:kinsoku/>
        <w:wordWrap/>
        <w:overflowPunct/>
        <w:topLinePunct w:val="0"/>
        <w:autoSpaceDE/>
        <w:autoSpaceDN/>
        <w:bidi w:val="0"/>
        <w:adjustRightInd w:val="0"/>
        <w:snapToGrid/>
        <w:spacing w:line="288" w:lineRule="auto"/>
        <w:ind w:right="53" w:rightChars="25" w:firstLine="498" w:firstLineChars="200"/>
        <w:textAlignment w:val="auto"/>
        <w:outlineLvl w:val="0"/>
        <w:rPr>
          <w:rFonts w:hint="eastAsia" w:ascii="宋体" w:hAnsi="宋体" w:eastAsia="宋体" w:cs="宋体"/>
          <w:b/>
          <w:spacing w:val="4"/>
          <w:sz w:val="24"/>
          <w:szCs w:val="24"/>
        </w:rPr>
      </w:pPr>
      <w:r>
        <w:rPr>
          <w:rFonts w:hint="eastAsia" w:ascii="宋体" w:hAnsi="宋体" w:eastAsia="宋体" w:cs="宋体"/>
          <w:b/>
          <w:spacing w:val="4"/>
          <w:sz w:val="24"/>
          <w:szCs w:val="24"/>
          <w:lang w:val="en-US" w:eastAsia="zh-CN"/>
        </w:rPr>
        <w:t>4.6</w:t>
      </w:r>
      <w:r>
        <w:rPr>
          <w:rFonts w:hint="eastAsia" w:ascii="宋体" w:hAnsi="宋体" w:eastAsia="宋体" w:cs="宋体"/>
          <w:b/>
          <w:spacing w:val="4"/>
          <w:sz w:val="24"/>
          <w:szCs w:val="24"/>
        </w:rPr>
        <w:t>、</w:t>
      </w:r>
      <w:r>
        <w:rPr>
          <w:rFonts w:hint="eastAsia" w:ascii="宋体" w:hAnsi="宋体" w:eastAsia="宋体" w:cs="宋体"/>
          <w:b/>
          <w:spacing w:val="4"/>
          <w:sz w:val="24"/>
          <w:szCs w:val="24"/>
          <w:lang w:val="en-US" w:eastAsia="zh-CN"/>
        </w:rPr>
        <w:t>钢材</w:t>
      </w:r>
      <w:r>
        <w:rPr>
          <w:rFonts w:hint="eastAsia" w:ascii="宋体" w:hAnsi="宋体" w:eastAsia="宋体" w:cs="宋体"/>
          <w:b/>
          <w:spacing w:val="4"/>
          <w:sz w:val="24"/>
          <w:szCs w:val="24"/>
        </w:rPr>
        <w:t>材料要求</w:t>
      </w:r>
    </w:p>
    <w:p w14:paraId="4E67A0D6">
      <w:pPr>
        <w:keepNext w:val="0"/>
        <w:keepLines w:val="0"/>
        <w:pageBreakBefore w:val="0"/>
        <w:kinsoku/>
        <w:wordWrap/>
        <w:overflowPunct/>
        <w:topLinePunct w:val="0"/>
        <w:autoSpaceDE/>
        <w:autoSpaceDN/>
        <w:bidi w:val="0"/>
        <w:snapToGrid/>
        <w:spacing w:line="288" w:lineRule="auto"/>
        <w:ind w:firstLine="480" w:firstLineChars="200"/>
        <w:textAlignment w:val="auto"/>
        <w:rPr>
          <w:rFonts w:hint="eastAsia" w:ascii="宋体" w:hAnsi="宋体" w:eastAsia="宋体" w:cs="Times New Roman"/>
          <w:sz w:val="24"/>
          <w:lang w:val="en-US" w:eastAsia="zh-CN"/>
        </w:rPr>
      </w:pPr>
      <w:r>
        <w:rPr>
          <w:rFonts w:hint="eastAsia" w:ascii="宋体" w:hAnsi="宋体" w:eastAsia="宋体" w:cs="Times New Roman"/>
          <w:sz w:val="24"/>
          <w:lang w:val="en-US" w:eastAsia="zh-CN"/>
        </w:rPr>
        <w:t>普通钢筋采用HPB300、HRB400钢筋。</w:t>
      </w:r>
    </w:p>
    <w:p w14:paraId="46A93256">
      <w:pPr>
        <w:keepNext w:val="0"/>
        <w:keepLines w:val="0"/>
        <w:pageBreakBefore w:val="0"/>
        <w:kinsoku/>
        <w:wordWrap/>
        <w:overflowPunct/>
        <w:topLinePunct w:val="0"/>
        <w:autoSpaceDE/>
        <w:autoSpaceDN/>
        <w:bidi w:val="0"/>
        <w:snapToGrid/>
        <w:spacing w:line="288" w:lineRule="auto"/>
        <w:ind w:firstLine="480" w:firstLineChars="200"/>
        <w:textAlignment w:val="auto"/>
        <w:rPr>
          <w:rFonts w:hint="eastAsia" w:ascii="宋体" w:hAnsi="宋体" w:eastAsia="宋体" w:cs="Times New Roman"/>
          <w:sz w:val="24"/>
          <w:lang w:val="en-US" w:eastAsia="zh-CN"/>
        </w:rPr>
      </w:pPr>
      <w:r>
        <w:rPr>
          <w:rFonts w:hint="eastAsia" w:ascii="宋体" w:hAnsi="宋体" w:eastAsia="宋体" w:cs="Times New Roman"/>
          <w:sz w:val="24"/>
          <w:lang w:val="en-US" w:eastAsia="zh-CN"/>
        </w:rPr>
        <w:t>1)HPB300为热轧光圆钢筋、其主要性能应符合国家标准《钢筋混凝土用钢 第1部分：热轧光圆钢筋》GB1499.1-2017的规定。</w:t>
      </w:r>
    </w:p>
    <w:p w14:paraId="783685CD">
      <w:pPr>
        <w:keepNext w:val="0"/>
        <w:keepLines w:val="0"/>
        <w:pageBreakBefore w:val="0"/>
        <w:kinsoku/>
        <w:wordWrap/>
        <w:overflowPunct/>
        <w:topLinePunct w:val="0"/>
        <w:autoSpaceDE/>
        <w:autoSpaceDN/>
        <w:bidi w:val="0"/>
        <w:snapToGrid/>
        <w:spacing w:line="288" w:lineRule="auto"/>
        <w:ind w:firstLine="480" w:firstLineChars="200"/>
        <w:textAlignment w:val="auto"/>
        <w:rPr>
          <w:rFonts w:hint="eastAsia" w:ascii="宋体" w:hAnsi="宋体" w:eastAsia="宋体" w:cs="Times New Roman"/>
          <w:sz w:val="24"/>
          <w:lang w:val="en-US" w:eastAsia="zh-CN"/>
        </w:rPr>
      </w:pPr>
      <w:r>
        <w:rPr>
          <w:rFonts w:hint="eastAsia" w:ascii="宋体" w:hAnsi="宋体" w:eastAsia="宋体" w:cs="Times New Roman"/>
          <w:sz w:val="24"/>
          <w:lang w:val="en-US" w:eastAsia="zh-CN"/>
        </w:rPr>
        <w:t>2)HRB400为热轧带肋钢筋、其主要性能应符合国家标准《钢筋混凝土用钢 第2部分：热轧带肋钢筋》GB1499.2-2018的规定。</w:t>
      </w:r>
    </w:p>
    <w:p w14:paraId="4F59E932">
      <w:pPr>
        <w:pStyle w:val="3"/>
        <w:keepNext w:val="0"/>
        <w:keepLines w:val="0"/>
        <w:pageBreakBefore w:val="0"/>
        <w:kinsoku/>
        <w:wordWrap/>
        <w:overflowPunct/>
        <w:topLinePunct w:val="0"/>
        <w:autoSpaceDE/>
        <w:autoSpaceDN/>
        <w:bidi w:val="0"/>
        <w:snapToGrid/>
        <w:spacing w:line="288" w:lineRule="auto"/>
        <w:textAlignment w:val="auto"/>
        <w:outlineLvl w:val="0"/>
        <w:rPr>
          <w:rFonts w:hAnsi="宋体" w:cs="宋体"/>
          <w:b/>
          <w:sz w:val="24"/>
          <w:szCs w:val="24"/>
        </w:rPr>
      </w:pPr>
      <w:r>
        <w:rPr>
          <w:rFonts w:hint="eastAsia" w:hAnsi="宋体"/>
          <w:b/>
          <w:spacing w:val="4"/>
          <w:sz w:val="24"/>
          <w:szCs w:val="24"/>
        </w:rPr>
        <w:t>五</w:t>
      </w:r>
      <w:r>
        <w:rPr>
          <w:rFonts w:hint="eastAsia" w:hAnsi="宋体" w:cs="宋体"/>
          <w:b/>
          <w:bCs/>
          <w:sz w:val="24"/>
          <w:szCs w:val="24"/>
        </w:rPr>
        <w:t>、</w:t>
      </w:r>
      <w:r>
        <w:rPr>
          <w:rFonts w:hint="eastAsia" w:hAnsi="宋体" w:cs="宋体"/>
          <w:b/>
          <w:sz w:val="24"/>
          <w:szCs w:val="24"/>
        </w:rPr>
        <w:t>路面的施工要求及注意事项</w:t>
      </w:r>
    </w:p>
    <w:p w14:paraId="7DCDE95B">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沥青混凝土路面面层、基层的质量管理和控制，参照《公路路面基层施工技术细则》(JTG∕T F20-2015)《公路水泥混凝土路面施工技术细则》(</w:t>
      </w:r>
      <w:r>
        <w:rPr>
          <w:rFonts w:ascii="宋体" w:hAnsi="宋体"/>
          <w:sz w:val="24"/>
        </w:rPr>
        <w:t>JTG/TF30-2014</w:t>
      </w:r>
      <w:r>
        <w:rPr>
          <w:rFonts w:hint="eastAsia" w:ascii="宋体" w:hAnsi="宋体"/>
          <w:sz w:val="24"/>
        </w:rPr>
        <w:t>)《公路工程质量检验评定标准》(TJG F80/1-2004)的技术规定执行并应严格按照设计图纸的要求，同时注意以下几个问题。</w:t>
      </w:r>
    </w:p>
    <w:p w14:paraId="31B4DAB1">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1、一般事项</w:t>
      </w:r>
    </w:p>
    <w:p w14:paraId="7BCA73BB">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(1)料场表中所列的料场均为推荐料场，施工前施工单位及监理应对各种材料进行试验，试验合格后方可进料，不得使用不符合要求的材料。施工期内应根据料场产量提前进行备料。</w:t>
      </w:r>
    </w:p>
    <w:p w14:paraId="7328150F">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(2)各种材料都必须在施工前以“批”(10t)为单位进行检查，不符合</w:t>
      </w:r>
      <w:r>
        <w:rPr>
          <w:rFonts w:hint="eastAsia" w:ascii="宋体" w:hAnsi="宋体" w:cs="宋体"/>
          <w:sz w:val="24"/>
        </w:rPr>
        <w:t>《公路沥青路面设计规范》(JTGD50-2017)</w:t>
      </w:r>
      <w:r>
        <w:rPr>
          <w:rFonts w:hint="eastAsia" w:ascii="宋体" w:hAnsi="宋体"/>
          <w:sz w:val="24"/>
        </w:rPr>
        <w:t>及</w:t>
      </w:r>
      <w:r>
        <w:rPr>
          <w:rFonts w:hint="eastAsia" w:ascii="宋体" w:hAnsi="宋体" w:cs="宋体"/>
          <w:sz w:val="24"/>
        </w:rPr>
        <w:t>《公路沥青路面施工技术规范》(JTG F40-2017)</w:t>
      </w:r>
      <w:r>
        <w:rPr>
          <w:rFonts w:hint="eastAsia" w:ascii="宋体" w:hAnsi="宋体"/>
          <w:sz w:val="24"/>
        </w:rPr>
        <w:t>相关技术要求的材料不得进场，对各种矿料是以同一料源、同一次购入并运至生产现场的相同规格材料为一“批”。</w:t>
      </w:r>
    </w:p>
    <w:p w14:paraId="3228BBF8">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)面层之间应进行连续施工，避免表面被污染。</w:t>
      </w:r>
    </w:p>
    <w:p w14:paraId="580F9A16">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w:t>
      </w:r>
      <w:r>
        <w:rPr>
          <w:rFonts w:ascii="宋体" w:hAnsi="宋体"/>
          <w:sz w:val="24"/>
        </w:rPr>
        <w:t>4</w:t>
      </w:r>
      <w:r>
        <w:rPr>
          <w:rFonts w:hint="eastAsia" w:ascii="宋体" w:hAnsi="宋体"/>
          <w:sz w:val="24"/>
        </w:rPr>
        <w:t>)基层摊铺完成后需按规范要求进行养生，达到规范养生标准后及时加铺下面层，当下面层满足要求时才可开放交通，在基层未达到规范的养生要求及下面层摊铺前严禁一切车辆在其上行驶(不包括洒水车)。</w:t>
      </w:r>
    </w:p>
    <w:p w14:paraId="1C76CBB6">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w:t>
      </w:r>
      <w:r>
        <w:rPr>
          <w:rFonts w:ascii="宋体" w:hAnsi="宋体"/>
          <w:sz w:val="24"/>
        </w:rPr>
        <w:t>5</w:t>
      </w:r>
      <w:r>
        <w:rPr>
          <w:rFonts w:hint="eastAsia" w:ascii="宋体" w:hAnsi="宋体"/>
          <w:sz w:val="24"/>
        </w:rPr>
        <w:t>)施工单位应严格按照施工图文件，不得随意变更设计文件，施工图说明及设计文件中未包括的，均按交通部有关施工技术规范执行。道路施工时，如发现技术问题，应及时与设计单位或驻地监理沟通，及时解决问题。</w:t>
      </w:r>
    </w:p>
    <w:p w14:paraId="6CA3690A">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w:t>
      </w:r>
      <w:r>
        <w:rPr>
          <w:rFonts w:ascii="宋体" w:hAnsi="宋体"/>
          <w:sz w:val="24"/>
        </w:rPr>
        <w:t>6</w:t>
      </w:r>
      <w:r>
        <w:rPr>
          <w:rFonts w:hint="eastAsia" w:ascii="宋体" w:hAnsi="宋体"/>
          <w:sz w:val="24"/>
        </w:rPr>
        <w:t>)必须按设计组织施工，加强管理，保证连续施工。事前做好应对不利气候的施工准备，保证混凝土路面施工能连续、保质地开展工作。施工时，应分段分幅修筑，设置安全保护设施和疏导交通的标志，保证道路畅通，尤其注意夜间道路行车安全，应保证夜间施工路段有人职守、频闪灯等安全保护设施和疏导交通的标志齐全及使用状态良好。</w:t>
      </w:r>
    </w:p>
    <w:p w14:paraId="0E430C25">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2、在开挖路槽内铺筑路面基层前，按规定检查旧路顶面或路基顶面的标高、宽度、路拱横坡、平整度、压实度以等各项指标是否满足要求，满足要求后方能铺筑路面基层或粒料层。在铺筑路面面层前，同样需要对基层顶面进行检查，经监理、有关部门及面层施工检测满足本说明及相关规范要求后，方可进行面层施工。</w:t>
      </w:r>
    </w:p>
    <w:p w14:paraId="12C95431">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lang w:val="en-US" w:eastAsia="zh-CN"/>
        </w:rPr>
        <w:t>3</w:t>
      </w:r>
      <w:r>
        <w:rPr>
          <w:rFonts w:hint="eastAsia" w:ascii="宋体" w:hAnsi="宋体"/>
          <w:sz w:val="24"/>
        </w:rPr>
        <w:t>、黏层施工应符合下列要求：</w:t>
      </w:r>
    </w:p>
    <w:p w14:paraId="315DF04B">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(1)浇洒黏层油前，路面有脏物尘土时应清除干净；表面松动的石块应清除；当有沾粘的土块时，应用水刷净，待表面干燥后浇洒。</w:t>
      </w:r>
    </w:p>
    <w:p w14:paraId="2A31DCA4">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(2)黏层沥青应均匀洒布或涂刷，浇洒过量处应予刮除。</w:t>
      </w:r>
    </w:p>
    <w:p w14:paraId="555F9134">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(3)气温低于10℃时或路面潮湿时，不得浇洒黏层沥青。</w:t>
      </w:r>
    </w:p>
    <w:p w14:paraId="6BF05516">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(4)浇洒黏层沥青后，严禁除沥青混合料运输车外的其它车辆、行人通过。</w:t>
      </w:r>
    </w:p>
    <w:p w14:paraId="4CFD53F4">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(5)黏层油应在当天洒布，待稀释沥青中的稀释剂基本挥发完成后，紧跟着铺筑沥青层，确保黏层不受污染。</w:t>
      </w:r>
    </w:p>
    <w:p w14:paraId="78A671FC">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lang w:val="en-US" w:eastAsia="zh-CN"/>
        </w:rPr>
        <w:t>4</w:t>
      </w:r>
      <w:r>
        <w:rPr>
          <w:rFonts w:hint="eastAsia" w:ascii="宋体" w:hAnsi="宋体"/>
          <w:sz w:val="24"/>
        </w:rPr>
        <w:t>、沥青面层施工要点：</w:t>
      </w:r>
    </w:p>
    <w:p w14:paraId="6690088C">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(1)施工准备</w:t>
      </w:r>
    </w:p>
    <w:p w14:paraId="30496F43">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①在面层施工前1～2d内，应清理基层顶面，在半刚性基层满足设计强度要求时，并且其平整度及拱度验收合格后，方可施工面层。</w:t>
      </w:r>
    </w:p>
    <w:p w14:paraId="6F43FEEA">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②施工前应对各种材料进行试验，经选择确定的材料在施工过程中应保持稳定，不得随意变更。</w:t>
      </w:r>
    </w:p>
    <w:p w14:paraId="61F86618">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③沥青混合料的配合比设计应按目标配合比设计阶段、生产配合比设计阶段、生产配合比验证阶段的步骤进行，经设计确定的标准配合比在施工中不得随意变更。</w:t>
      </w:r>
    </w:p>
    <w:p w14:paraId="35342CFE">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bookmarkStart w:id="1" w:name="_Hlk43831612"/>
      <w:r>
        <w:rPr>
          <w:rFonts w:hint="eastAsia" w:ascii="宋体" w:hAnsi="宋体"/>
          <w:sz w:val="24"/>
        </w:rPr>
        <w:t>(</w:t>
      </w:r>
      <w:r>
        <w:rPr>
          <w:rFonts w:ascii="宋体" w:hAnsi="宋体"/>
          <w:sz w:val="24"/>
        </w:rPr>
        <w:t>2</w:t>
      </w:r>
      <w:r>
        <w:rPr>
          <w:rFonts w:hint="eastAsia" w:ascii="宋体" w:hAnsi="宋体"/>
          <w:sz w:val="24"/>
        </w:rPr>
        <w:t>)沥青混合料的拌和</w:t>
      </w:r>
    </w:p>
    <w:p w14:paraId="268E60BA">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①热拌沥青混合料应采用间歇式拌和机进行拌和，拌和机必须配备有材料配合比和施工温度的自动检测和记录设备。</w:t>
      </w:r>
    </w:p>
    <w:p w14:paraId="62DB3960">
      <w:pPr>
        <w:keepNext w:val="0"/>
        <w:keepLines w:val="0"/>
        <w:pageBreakBefore w:val="0"/>
        <w:kinsoku/>
        <w:wordWrap/>
        <w:overflowPunct/>
        <w:topLinePunct w:val="0"/>
        <w:autoSpaceDE/>
        <w:autoSpaceDN/>
        <w:bidi w:val="0"/>
        <w:snapToGrid/>
        <w:spacing w:line="288" w:lineRule="auto"/>
        <w:ind w:firstLine="200" w:firstLineChars="200"/>
        <w:jc w:val="center"/>
        <w:textAlignment w:val="auto"/>
        <w:rPr>
          <w:rFonts w:ascii="宋体" w:hAnsi="宋体"/>
          <w:sz w:val="10"/>
          <w:szCs w:val="10"/>
        </w:rPr>
      </w:pPr>
    </w:p>
    <w:tbl>
      <w:tblPr>
        <w:tblStyle w:val="8"/>
        <w:tblW w:w="7402" w:type="dxa"/>
        <w:jc w:val="center"/>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autofit"/>
        <w:tblCellMar>
          <w:top w:w="0" w:type="dxa"/>
          <w:left w:w="108" w:type="dxa"/>
          <w:bottom w:w="0" w:type="dxa"/>
          <w:right w:w="108" w:type="dxa"/>
        </w:tblCellMar>
      </w:tblPr>
      <w:tblGrid>
        <w:gridCol w:w="2979"/>
        <w:gridCol w:w="1843"/>
        <w:gridCol w:w="2580"/>
      </w:tblGrid>
      <w:tr w14:paraId="46C6F5CF">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7402" w:type="dxa"/>
            <w:gridSpan w:val="3"/>
            <w:tcBorders>
              <w:top w:val="single" w:color="auto" w:sz="12" w:space="0"/>
              <w:left w:val="single" w:color="auto" w:sz="12" w:space="0"/>
              <w:bottom w:val="single" w:color="auto" w:sz="6" w:space="0"/>
              <w:right w:val="single" w:color="auto" w:sz="12" w:space="0"/>
            </w:tcBorders>
            <w:shd w:val="clear" w:color="000000" w:fill="FFFFFF"/>
            <w:noWrap/>
            <w:vAlign w:val="center"/>
          </w:tcPr>
          <w:p w14:paraId="483593B8">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沥青混合料的施工温度(℃)</w:t>
            </w:r>
          </w:p>
        </w:tc>
      </w:tr>
      <w:tr w14:paraId="1755904C">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4822" w:type="dxa"/>
            <w:gridSpan w:val="2"/>
            <w:vMerge w:val="restart"/>
            <w:tcBorders>
              <w:top w:val="single" w:color="auto" w:sz="6" w:space="0"/>
              <w:left w:val="single" w:color="auto" w:sz="12" w:space="0"/>
              <w:bottom w:val="single" w:color="auto" w:sz="6" w:space="0"/>
              <w:right w:val="single" w:color="auto" w:sz="6" w:space="0"/>
            </w:tcBorders>
            <w:shd w:val="clear" w:color="000000" w:fill="FFFFFF"/>
            <w:noWrap/>
            <w:vAlign w:val="center"/>
          </w:tcPr>
          <w:p w14:paraId="0236C4FA">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指标名称</w:t>
            </w:r>
          </w:p>
        </w:tc>
        <w:tc>
          <w:tcPr>
            <w:tcW w:w="2580" w:type="dxa"/>
            <w:tcBorders>
              <w:top w:val="single" w:color="auto" w:sz="6" w:space="0"/>
              <w:left w:val="single" w:color="auto" w:sz="6" w:space="0"/>
              <w:bottom w:val="single" w:color="auto" w:sz="6" w:space="0"/>
              <w:right w:val="single" w:color="auto" w:sz="12" w:space="0"/>
            </w:tcBorders>
            <w:shd w:val="clear" w:color="000000" w:fill="FFFFFF"/>
            <w:vAlign w:val="center"/>
          </w:tcPr>
          <w:p w14:paraId="0619D67A">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沥青品种</w:t>
            </w:r>
          </w:p>
        </w:tc>
      </w:tr>
      <w:tr w14:paraId="56BBB81B">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4822" w:type="dxa"/>
            <w:gridSpan w:val="2"/>
            <w:vMerge w:val="continue"/>
            <w:tcBorders>
              <w:top w:val="single" w:color="auto" w:sz="6" w:space="0"/>
              <w:left w:val="single" w:color="auto" w:sz="12" w:space="0"/>
              <w:bottom w:val="single" w:color="auto" w:sz="6" w:space="0"/>
              <w:right w:val="single" w:color="auto" w:sz="6" w:space="0"/>
            </w:tcBorders>
            <w:vAlign w:val="center"/>
          </w:tcPr>
          <w:p w14:paraId="0CDBF1B5">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p>
        </w:tc>
        <w:tc>
          <w:tcPr>
            <w:tcW w:w="2580" w:type="dxa"/>
            <w:tcBorders>
              <w:top w:val="single" w:color="auto" w:sz="6" w:space="0"/>
              <w:left w:val="single" w:color="auto" w:sz="6" w:space="0"/>
              <w:bottom w:val="single" w:color="auto" w:sz="6" w:space="0"/>
              <w:right w:val="single" w:color="auto" w:sz="12" w:space="0"/>
            </w:tcBorders>
            <w:shd w:val="clear" w:color="000000" w:fill="FFFFFF"/>
            <w:vAlign w:val="center"/>
          </w:tcPr>
          <w:p w14:paraId="085B8780">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90号石油沥青</w:t>
            </w:r>
          </w:p>
        </w:tc>
      </w:tr>
      <w:tr w14:paraId="0B5C2C1B">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4822"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403AB463">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沥青加热温度</w:t>
            </w:r>
          </w:p>
        </w:tc>
        <w:tc>
          <w:tcPr>
            <w:tcW w:w="2580" w:type="dxa"/>
            <w:tcBorders>
              <w:top w:val="single" w:color="auto" w:sz="6" w:space="0"/>
              <w:left w:val="single" w:color="auto" w:sz="6" w:space="0"/>
              <w:bottom w:val="single" w:color="auto" w:sz="6" w:space="0"/>
              <w:right w:val="single" w:color="auto" w:sz="12" w:space="0"/>
            </w:tcBorders>
            <w:shd w:val="clear" w:color="000000" w:fill="FFFFFF"/>
            <w:vAlign w:val="center"/>
          </w:tcPr>
          <w:p w14:paraId="19856F45">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150～160</w:t>
            </w:r>
          </w:p>
        </w:tc>
      </w:tr>
      <w:tr w14:paraId="7DD0E17D">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4822"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79DE4529">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沥青存放温度</w:t>
            </w:r>
          </w:p>
        </w:tc>
        <w:tc>
          <w:tcPr>
            <w:tcW w:w="2580" w:type="dxa"/>
            <w:tcBorders>
              <w:top w:val="single" w:color="auto" w:sz="6" w:space="0"/>
              <w:left w:val="single" w:color="auto" w:sz="6" w:space="0"/>
              <w:bottom w:val="single" w:color="auto" w:sz="6" w:space="0"/>
              <w:right w:val="single" w:color="auto" w:sz="12" w:space="0"/>
            </w:tcBorders>
            <w:shd w:val="clear" w:color="000000" w:fill="FFFFFF"/>
            <w:vAlign w:val="center"/>
          </w:tcPr>
          <w:p w14:paraId="4CE07B2E">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130～140</w:t>
            </w:r>
          </w:p>
        </w:tc>
      </w:tr>
      <w:tr w14:paraId="22501C51">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4822"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651C96E4">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改性沥青现场制作温度</w:t>
            </w:r>
          </w:p>
        </w:tc>
        <w:tc>
          <w:tcPr>
            <w:tcW w:w="2580" w:type="dxa"/>
            <w:tcBorders>
              <w:top w:val="single" w:color="auto" w:sz="6" w:space="0"/>
              <w:left w:val="single" w:color="auto" w:sz="6" w:space="0"/>
              <w:bottom w:val="single" w:color="auto" w:sz="6" w:space="0"/>
              <w:right w:val="single" w:color="auto" w:sz="12" w:space="0"/>
            </w:tcBorders>
            <w:shd w:val="clear" w:color="000000" w:fill="FFFFFF"/>
            <w:vAlign w:val="center"/>
          </w:tcPr>
          <w:p w14:paraId="25473EBC">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w:t>
            </w:r>
          </w:p>
        </w:tc>
      </w:tr>
      <w:tr w14:paraId="7736456B">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4822"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5C7226C2">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成品改性沥青加热温度,不大于</w:t>
            </w:r>
          </w:p>
        </w:tc>
        <w:tc>
          <w:tcPr>
            <w:tcW w:w="2580" w:type="dxa"/>
            <w:tcBorders>
              <w:top w:val="single" w:color="auto" w:sz="6" w:space="0"/>
              <w:left w:val="single" w:color="auto" w:sz="6" w:space="0"/>
              <w:bottom w:val="single" w:color="auto" w:sz="6" w:space="0"/>
              <w:right w:val="single" w:color="auto" w:sz="12" w:space="0"/>
            </w:tcBorders>
            <w:shd w:val="clear" w:color="000000" w:fill="FFFFFF"/>
            <w:vAlign w:val="center"/>
          </w:tcPr>
          <w:p w14:paraId="2107C494">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w:t>
            </w:r>
          </w:p>
        </w:tc>
      </w:tr>
      <w:tr w14:paraId="7F4CB362">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4822"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661106CA">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(间歇式拌和机)集料加热温度</w:t>
            </w:r>
          </w:p>
        </w:tc>
        <w:tc>
          <w:tcPr>
            <w:tcW w:w="2580" w:type="dxa"/>
            <w:tcBorders>
              <w:top w:val="single" w:color="auto" w:sz="6" w:space="0"/>
              <w:left w:val="single" w:color="auto" w:sz="6" w:space="0"/>
              <w:bottom w:val="single" w:color="auto" w:sz="6" w:space="0"/>
              <w:right w:val="single" w:color="auto" w:sz="12" w:space="0"/>
            </w:tcBorders>
            <w:shd w:val="clear" w:color="000000" w:fill="FFFFFF"/>
            <w:vAlign w:val="center"/>
          </w:tcPr>
          <w:p w14:paraId="657D8EA4">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比加热温度高10～30</w:t>
            </w:r>
          </w:p>
        </w:tc>
      </w:tr>
      <w:tr w14:paraId="44A81F66">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4822"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43C5929A">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混合料出料温度</w:t>
            </w:r>
          </w:p>
        </w:tc>
        <w:tc>
          <w:tcPr>
            <w:tcW w:w="2580" w:type="dxa"/>
            <w:tcBorders>
              <w:top w:val="single" w:color="auto" w:sz="6" w:space="0"/>
              <w:left w:val="single" w:color="auto" w:sz="6" w:space="0"/>
              <w:bottom w:val="single" w:color="auto" w:sz="6" w:space="0"/>
              <w:right w:val="single" w:color="auto" w:sz="12" w:space="0"/>
            </w:tcBorders>
            <w:shd w:val="clear" w:color="000000" w:fill="FFFFFF"/>
            <w:vAlign w:val="center"/>
          </w:tcPr>
          <w:p w14:paraId="758D2D6D">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140～160</w:t>
            </w:r>
          </w:p>
        </w:tc>
      </w:tr>
      <w:tr w14:paraId="5B6EADB1">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4822"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45D113AA">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混合料贮料仓贮存温度降低不超过</w:t>
            </w:r>
          </w:p>
        </w:tc>
        <w:tc>
          <w:tcPr>
            <w:tcW w:w="2580" w:type="dxa"/>
            <w:tcBorders>
              <w:top w:val="single" w:color="auto" w:sz="6" w:space="0"/>
              <w:left w:val="single" w:color="auto" w:sz="6" w:space="0"/>
              <w:bottom w:val="single" w:color="auto" w:sz="6" w:space="0"/>
              <w:right w:val="single" w:color="auto" w:sz="12" w:space="0"/>
            </w:tcBorders>
            <w:shd w:val="clear" w:color="000000" w:fill="FFFFFF"/>
            <w:vAlign w:val="center"/>
          </w:tcPr>
          <w:p w14:paraId="53D78749">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10</w:t>
            </w:r>
          </w:p>
        </w:tc>
      </w:tr>
      <w:tr w14:paraId="087C1E56">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4822"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10579FE6">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混合料废弃温度,高于</w:t>
            </w:r>
          </w:p>
        </w:tc>
        <w:tc>
          <w:tcPr>
            <w:tcW w:w="2580" w:type="dxa"/>
            <w:tcBorders>
              <w:top w:val="single" w:color="auto" w:sz="6" w:space="0"/>
              <w:left w:val="single" w:color="auto" w:sz="6" w:space="0"/>
              <w:bottom w:val="single" w:color="auto" w:sz="6" w:space="0"/>
              <w:right w:val="single" w:color="auto" w:sz="12" w:space="0"/>
            </w:tcBorders>
            <w:shd w:val="clear" w:color="000000" w:fill="FFFFFF"/>
            <w:vAlign w:val="center"/>
          </w:tcPr>
          <w:p w14:paraId="657622CF">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190</w:t>
            </w:r>
          </w:p>
        </w:tc>
      </w:tr>
      <w:tr w14:paraId="4B09A606">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4822"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1F0541F5">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运输到现场温度,不低于</w:t>
            </w:r>
          </w:p>
        </w:tc>
        <w:tc>
          <w:tcPr>
            <w:tcW w:w="2580" w:type="dxa"/>
            <w:tcBorders>
              <w:top w:val="single" w:color="auto" w:sz="6" w:space="0"/>
              <w:left w:val="single" w:color="auto" w:sz="6" w:space="0"/>
              <w:bottom w:val="single" w:color="auto" w:sz="6" w:space="0"/>
              <w:right w:val="single" w:color="auto" w:sz="12" w:space="0"/>
            </w:tcBorders>
            <w:shd w:val="clear" w:color="000000" w:fill="FFFFFF"/>
            <w:vAlign w:val="center"/>
          </w:tcPr>
          <w:p w14:paraId="31816EC8">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140</w:t>
            </w:r>
          </w:p>
        </w:tc>
      </w:tr>
      <w:tr w14:paraId="365A9391">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2979" w:type="dxa"/>
            <w:vMerge w:val="restart"/>
            <w:tcBorders>
              <w:top w:val="single" w:color="auto" w:sz="6" w:space="0"/>
              <w:left w:val="single" w:color="auto" w:sz="12" w:space="0"/>
              <w:bottom w:val="single" w:color="auto" w:sz="6" w:space="0"/>
              <w:right w:val="single" w:color="auto" w:sz="6" w:space="0"/>
            </w:tcBorders>
            <w:shd w:val="clear" w:color="000000" w:fill="FFFFFF"/>
            <w:vAlign w:val="center"/>
          </w:tcPr>
          <w:p w14:paraId="330288A3">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混合料摊铺温度,不低于</w:t>
            </w:r>
          </w:p>
        </w:tc>
        <w:tc>
          <w:tcPr>
            <w:tcW w:w="1843" w:type="dxa"/>
            <w:tcBorders>
              <w:top w:val="single" w:color="auto" w:sz="6" w:space="0"/>
              <w:left w:val="single" w:color="auto" w:sz="6" w:space="0"/>
              <w:bottom w:val="single" w:color="auto" w:sz="6" w:space="0"/>
              <w:right w:val="single" w:color="auto" w:sz="6" w:space="0"/>
            </w:tcBorders>
            <w:shd w:val="clear" w:color="000000" w:fill="FFFFFF"/>
            <w:vAlign w:val="center"/>
          </w:tcPr>
          <w:p w14:paraId="5B6BC387">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正常施工</w:t>
            </w:r>
          </w:p>
        </w:tc>
        <w:tc>
          <w:tcPr>
            <w:tcW w:w="2580" w:type="dxa"/>
            <w:tcBorders>
              <w:top w:val="single" w:color="auto" w:sz="6" w:space="0"/>
              <w:left w:val="single" w:color="auto" w:sz="6" w:space="0"/>
              <w:bottom w:val="single" w:color="auto" w:sz="6" w:space="0"/>
              <w:right w:val="single" w:color="auto" w:sz="12" w:space="0"/>
            </w:tcBorders>
            <w:shd w:val="clear" w:color="000000" w:fill="FFFFFF"/>
            <w:vAlign w:val="center"/>
          </w:tcPr>
          <w:p w14:paraId="1945B32A">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130</w:t>
            </w:r>
          </w:p>
        </w:tc>
      </w:tr>
      <w:tr w14:paraId="3C8558AE">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2979" w:type="dxa"/>
            <w:vMerge w:val="continue"/>
            <w:tcBorders>
              <w:top w:val="single" w:color="auto" w:sz="6" w:space="0"/>
              <w:left w:val="single" w:color="auto" w:sz="12" w:space="0"/>
              <w:bottom w:val="single" w:color="auto" w:sz="6" w:space="0"/>
              <w:right w:val="single" w:color="auto" w:sz="6" w:space="0"/>
            </w:tcBorders>
            <w:vAlign w:val="center"/>
          </w:tcPr>
          <w:p w14:paraId="4F7CFC34">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p>
        </w:tc>
        <w:tc>
          <w:tcPr>
            <w:tcW w:w="1843" w:type="dxa"/>
            <w:tcBorders>
              <w:top w:val="single" w:color="auto" w:sz="6" w:space="0"/>
              <w:left w:val="single" w:color="auto" w:sz="6" w:space="0"/>
              <w:bottom w:val="single" w:color="auto" w:sz="6" w:space="0"/>
              <w:right w:val="single" w:color="auto" w:sz="6" w:space="0"/>
            </w:tcBorders>
            <w:shd w:val="clear" w:color="000000" w:fill="FFFFFF"/>
            <w:vAlign w:val="center"/>
          </w:tcPr>
          <w:p w14:paraId="27D6E034">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低温施工</w:t>
            </w:r>
          </w:p>
        </w:tc>
        <w:tc>
          <w:tcPr>
            <w:tcW w:w="2580" w:type="dxa"/>
            <w:tcBorders>
              <w:top w:val="single" w:color="auto" w:sz="6" w:space="0"/>
              <w:left w:val="single" w:color="auto" w:sz="6" w:space="0"/>
              <w:bottom w:val="single" w:color="auto" w:sz="6" w:space="0"/>
              <w:right w:val="single" w:color="auto" w:sz="12" w:space="0"/>
            </w:tcBorders>
            <w:shd w:val="clear" w:color="000000" w:fill="FFFFFF"/>
            <w:vAlign w:val="center"/>
          </w:tcPr>
          <w:p w14:paraId="70042ACD">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140</w:t>
            </w:r>
          </w:p>
        </w:tc>
      </w:tr>
      <w:tr w14:paraId="7E86690E">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2979" w:type="dxa"/>
            <w:vMerge w:val="restart"/>
            <w:tcBorders>
              <w:top w:val="single" w:color="auto" w:sz="6" w:space="0"/>
              <w:left w:val="single" w:color="auto" w:sz="12" w:space="0"/>
              <w:bottom w:val="single" w:color="auto" w:sz="6" w:space="0"/>
              <w:right w:val="single" w:color="auto" w:sz="6" w:space="0"/>
            </w:tcBorders>
            <w:shd w:val="clear" w:color="000000" w:fill="FFFFFF"/>
            <w:vAlign w:val="center"/>
          </w:tcPr>
          <w:p w14:paraId="62EB73A4">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开始碾压混合料内部温度不低于</w:t>
            </w:r>
          </w:p>
        </w:tc>
        <w:tc>
          <w:tcPr>
            <w:tcW w:w="1843" w:type="dxa"/>
            <w:tcBorders>
              <w:top w:val="single" w:color="auto" w:sz="6" w:space="0"/>
              <w:left w:val="single" w:color="auto" w:sz="6" w:space="0"/>
              <w:bottom w:val="single" w:color="auto" w:sz="6" w:space="0"/>
              <w:right w:val="single" w:color="auto" w:sz="6" w:space="0"/>
            </w:tcBorders>
            <w:shd w:val="clear" w:color="000000" w:fill="FFFFFF"/>
            <w:vAlign w:val="center"/>
          </w:tcPr>
          <w:p w14:paraId="609CFDB8">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正常施工</w:t>
            </w:r>
          </w:p>
        </w:tc>
        <w:tc>
          <w:tcPr>
            <w:tcW w:w="2580" w:type="dxa"/>
            <w:tcBorders>
              <w:top w:val="single" w:color="auto" w:sz="6" w:space="0"/>
              <w:left w:val="single" w:color="auto" w:sz="6" w:space="0"/>
              <w:bottom w:val="single" w:color="auto" w:sz="6" w:space="0"/>
              <w:right w:val="single" w:color="auto" w:sz="12" w:space="0"/>
            </w:tcBorders>
            <w:shd w:val="clear" w:color="000000" w:fill="FFFFFF"/>
            <w:vAlign w:val="center"/>
          </w:tcPr>
          <w:p w14:paraId="4B82AA57">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125</w:t>
            </w:r>
          </w:p>
        </w:tc>
      </w:tr>
      <w:tr w14:paraId="0F6F487E">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2979" w:type="dxa"/>
            <w:vMerge w:val="continue"/>
            <w:tcBorders>
              <w:top w:val="single" w:color="auto" w:sz="6" w:space="0"/>
              <w:left w:val="single" w:color="auto" w:sz="12" w:space="0"/>
              <w:bottom w:val="single" w:color="auto" w:sz="6" w:space="0"/>
              <w:right w:val="single" w:color="auto" w:sz="6" w:space="0"/>
            </w:tcBorders>
            <w:vAlign w:val="center"/>
          </w:tcPr>
          <w:p w14:paraId="0259F535">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p>
        </w:tc>
        <w:tc>
          <w:tcPr>
            <w:tcW w:w="1843" w:type="dxa"/>
            <w:tcBorders>
              <w:top w:val="single" w:color="auto" w:sz="6" w:space="0"/>
              <w:left w:val="single" w:color="auto" w:sz="6" w:space="0"/>
              <w:bottom w:val="single" w:color="auto" w:sz="6" w:space="0"/>
              <w:right w:val="single" w:color="auto" w:sz="6" w:space="0"/>
            </w:tcBorders>
            <w:shd w:val="clear" w:color="000000" w:fill="FFFFFF"/>
            <w:vAlign w:val="center"/>
          </w:tcPr>
          <w:p w14:paraId="660A94A7">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低温施工</w:t>
            </w:r>
          </w:p>
        </w:tc>
        <w:tc>
          <w:tcPr>
            <w:tcW w:w="2580" w:type="dxa"/>
            <w:tcBorders>
              <w:top w:val="single" w:color="auto" w:sz="6" w:space="0"/>
              <w:left w:val="single" w:color="auto" w:sz="6" w:space="0"/>
              <w:bottom w:val="single" w:color="auto" w:sz="6" w:space="0"/>
              <w:right w:val="single" w:color="auto" w:sz="12" w:space="0"/>
            </w:tcBorders>
            <w:shd w:val="clear" w:color="000000" w:fill="FFFFFF"/>
            <w:vAlign w:val="center"/>
          </w:tcPr>
          <w:p w14:paraId="10735722">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135</w:t>
            </w:r>
          </w:p>
        </w:tc>
      </w:tr>
      <w:tr w14:paraId="732F039F">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2979" w:type="dxa"/>
            <w:vMerge w:val="restart"/>
            <w:tcBorders>
              <w:top w:val="single" w:color="auto" w:sz="6" w:space="0"/>
              <w:left w:val="single" w:color="auto" w:sz="12" w:space="0"/>
              <w:bottom w:val="single" w:color="auto" w:sz="6" w:space="0"/>
              <w:right w:val="single" w:color="auto" w:sz="6" w:space="0"/>
            </w:tcBorders>
            <w:shd w:val="clear" w:color="000000" w:fill="FFFFFF"/>
            <w:vAlign w:val="center"/>
          </w:tcPr>
          <w:p w14:paraId="16FA614B">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碾压终了的表面温度,</w:t>
            </w:r>
          </w:p>
          <w:p w14:paraId="0EE9AEF2">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不低于</w:t>
            </w:r>
          </w:p>
        </w:tc>
        <w:tc>
          <w:tcPr>
            <w:tcW w:w="1843" w:type="dxa"/>
            <w:tcBorders>
              <w:top w:val="single" w:color="auto" w:sz="6" w:space="0"/>
              <w:left w:val="single" w:color="auto" w:sz="6" w:space="0"/>
              <w:bottom w:val="single" w:color="auto" w:sz="6" w:space="0"/>
              <w:right w:val="single" w:color="auto" w:sz="6" w:space="0"/>
            </w:tcBorders>
            <w:shd w:val="clear" w:color="000000" w:fill="FFFFFF"/>
            <w:vAlign w:val="center"/>
          </w:tcPr>
          <w:p w14:paraId="27D5734E">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钢轮压路机</w:t>
            </w:r>
          </w:p>
        </w:tc>
        <w:tc>
          <w:tcPr>
            <w:tcW w:w="2580" w:type="dxa"/>
            <w:tcBorders>
              <w:top w:val="single" w:color="auto" w:sz="6" w:space="0"/>
              <w:left w:val="single" w:color="auto" w:sz="6" w:space="0"/>
              <w:bottom w:val="single" w:color="auto" w:sz="6" w:space="0"/>
              <w:right w:val="single" w:color="auto" w:sz="12" w:space="0"/>
            </w:tcBorders>
            <w:shd w:val="clear" w:color="000000" w:fill="FFFFFF"/>
            <w:vAlign w:val="center"/>
          </w:tcPr>
          <w:p w14:paraId="58052AA6">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65</w:t>
            </w:r>
          </w:p>
        </w:tc>
      </w:tr>
      <w:tr w14:paraId="7E8F95ED">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2979" w:type="dxa"/>
            <w:vMerge w:val="continue"/>
            <w:tcBorders>
              <w:top w:val="single" w:color="auto" w:sz="6" w:space="0"/>
              <w:left w:val="single" w:color="auto" w:sz="12" w:space="0"/>
              <w:bottom w:val="single" w:color="auto" w:sz="6" w:space="0"/>
              <w:right w:val="single" w:color="auto" w:sz="6" w:space="0"/>
            </w:tcBorders>
            <w:vAlign w:val="center"/>
          </w:tcPr>
          <w:p w14:paraId="0E8A93D3">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p>
        </w:tc>
        <w:tc>
          <w:tcPr>
            <w:tcW w:w="1843" w:type="dxa"/>
            <w:tcBorders>
              <w:top w:val="single" w:color="auto" w:sz="6" w:space="0"/>
              <w:left w:val="single" w:color="auto" w:sz="6" w:space="0"/>
              <w:bottom w:val="single" w:color="auto" w:sz="6" w:space="0"/>
              <w:right w:val="single" w:color="auto" w:sz="6" w:space="0"/>
            </w:tcBorders>
            <w:shd w:val="clear" w:color="000000" w:fill="FFFFFF"/>
            <w:vAlign w:val="center"/>
          </w:tcPr>
          <w:p w14:paraId="6B3DE1F9">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轮胎压路机</w:t>
            </w:r>
          </w:p>
        </w:tc>
        <w:tc>
          <w:tcPr>
            <w:tcW w:w="2580" w:type="dxa"/>
            <w:tcBorders>
              <w:top w:val="single" w:color="auto" w:sz="6" w:space="0"/>
              <w:left w:val="single" w:color="auto" w:sz="6" w:space="0"/>
              <w:bottom w:val="single" w:color="auto" w:sz="6" w:space="0"/>
              <w:right w:val="single" w:color="auto" w:sz="12" w:space="0"/>
            </w:tcBorders>
            <w:shd w:val="clear" w:color="000000" w:fill="FFFFFF"/>
            <w:vAlign w:val="center"/>
          </w:tcPr>
          <w:p w14:paraId="44CDB4DA">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75</w:t>
            </w:r>
          </w:p>
        </w:tc>
      </w:tr>
      <w:tr w14:paraId="32FA98DC">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2979" w:type="dxa"/>
            <w:vMerge w:val="continue"/>
            <w:tcBorders>
              <w:top w:val="single" w:color="auto" w:sz="6" w:space="0"/>
              <w:left w:val="single" w:color="auto" w:sz="12" w:space="0"/>
              <w:bottom w:val="single" w:color="auto" w:sz="6" w:space="0"/>
              <w:right w:val="single" w:color="auto" w:sz="6" w:space="0"/>
            </w:tcBorders>
            <w:vAlign w:val="center"/>
          </w:tcPr>
          <w:p w14:paraId="5C5E9428">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p>
        </w:tc>
        <w:tc>
          <w:tcPr>
            <w:tcW w:w="1843" w:type="dxa"/>
            <w:tcBorders>
              <w:top w:val="single" w:color="auto" w:sz="6" w:space="0"/>
              <w:left w:val="single" w:color="auto" w:sz="6" w:space="0"/>
              <w:bottom w:val="single" w:color="auto" w:sz="6" w:space="0"/>
              <w:right w:val="single" w:color="auto" w:sz="6" w:space="0"/>
            </w:tcBorders>
            <w:shd w:val="clear" w:color="000000" w:fill="FFFFFF"/>
            <w:vAlign w:val="center"/>
          </w:tcPr>
          <w:p w14:paraId="4B1A0C85">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振动压路机</w:t>
            </w:r>
          </w:p>
        </w:tc>
        <w:tc>
          <w:tcPr>
            <w:tcW w:w="2580" w:type="dxa"/>
            <w:tcBorders>
              <w:top w:val="single" w:color="auto" w:sz="6" w:space="0"/>
              <w:left w:val="single" w:color="auto" w:sz="6" w:space="0"/>
              <w:bottom w:val="single" w:color="auto" w:sz="6" w:space="0"/>
              <w:right w:val="single" w:color="auto" w:sz="12" w:space="0"/>
            </w:tcBorders>
            <w:shd w:val="clear" w:color="000000" w:fill="FFFFFF"/>
            <w:vAlign w:val="center"/>
          </w:tcPr>
          <w:p w14:paraId="74B259BF">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60</w:t>
            </w:r>
          </w:p>
        </w:tc>
      </w:tr>
      <w:tr w14:paraId="1B2438D2">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4822" w:type="dxa"/>
            <w:gridSpan w:val="2"/>
            <w:tcBorders>
              <w:top w:val="single" w:color="auto" w:sz="6" w:space="0"/>
              <w:left w:val="single" w:color="auto" w:sz="12" w:space="0"/>
              <w:bottom w:val="single" w:color="auto" w:sz="12" w:space="0"/>
              <w:right w:val="single" w:color="auto" w:sz="6" w:space="0"/>
            </w:tcBorders>
            <w:shd w:val="clear" w:color="000000" w:fill="FFFFFF"/>
            <w:vAlign w:val="center"/>
          </w:tcPr>
          <w:p w14:paraId="04783532">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开放交通的路表温度,不高于</w:t>
            </w:r>
          </w:p>
        </w:tc>
        <w:tc>
          <w:tcPr>
            <w:tcW w:w="2580" w:type="dxa"/>
            <w:tcBorders>
              <w:top w:val="single" w:color="auto" w:sz="6" w:space="0"/>
              <w:left w:val="single" w:color="auto" w:sz="6" w:space="0"/>
              <w:bottom w:val="single" w:color="auto" w:sz="12" w:space="0"/>
              <w:right w:val="single" w:color="auto" w:sz="12" w:space="0"/>
            </w:tcBorders>
            <w:shd w:val="clear" w:color="000000" w:fill="FFFFFF"/>
            <w:vAlign w:val="center"/>
          </w:tcPr>
          <w:p w14:paraId="55F94218">
            <w:pPr>
              <w:keepNext w:val="0"/>
              <w:keepLines w:val="0"/>
              <w:pageBreakBefore w:val="0"/>
              <w:widowControl/>
              <w:kinsoku/>
              <w:wordWrap/>
              <w:overflowPunct/>
              <w:topLinePunct w:val="0"/>
              <w:autoSpaceDE/>
              <w:autoSpaceDN/>
              <w:bidi w:val="0"/>
              <w:snapToGrid/>
              <w:spacing w:line="288" w:lineRule="auto"/>
              <w:jc w:val="center"/>
              <w:textAlignment w:val="auto"/>
              <w:rPr>
                <w:rFonts w:ascii="宋体" w:hAnsi="宋体"/>
                <w:sz w:val="24"/>
              </w:rPr>
            </w:pPr>
            <w:r>
              <w:rPr>
                <w:rFonts w:hint="eastAsia" w:ascii="宋体" w:hAnsi="宋体"/>
                <w:sz w:val="24"/>
              </w:rPr>
              <w:t>50</w:t>
            </w:r>
          </w:p>
        </w:tc>
      </w:tr>
    </w:tbl>
    <w:p w14:paraId="64C7D09B">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②面层沥青混合料拌和时间应以混合料拌和均匀、所有矿料颗粒全部裹覆沥青结合料为度，并根据设备情况经试拌确定。</w:t>
      </w:r>
    </w:p>
    <w:p w14:paraId="3C97B7E4">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)沥青混合料的运输</w:t>
      </w:r>
      <w:bookmarkEnd w:id="1"/>
    </w:p>
    <w:p w14:paraId="0AE67988">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①沥青混合料运输车的运量应较拌和能力或摊铺速度有所富余。运料车在开始运输前，应在车厢及底板上涂刷一层隔离剂，使沥青混合料不与车厢粘结。</w:t>
      </w:r>
    </w:p>
    <w:p w14:paraId="35EB78AB">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②运料车应前后至少移动三次装料，防止混合料离析。</w:t>
      </w:r>
    </w:p>
    <w:p w14:paraId="146E292F">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③混合料运输过程中必须加以覆盖，以防止混合料降温超标和结壳。</w:t>
      </w:r>
    </w:p>
    <w:p w14:paraId="17BD6AF2">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④运料车在运输途中，不得随意停歇，施工便道要保证畅通，平整，以保证混合料到场温度并尽量减少因颠簸造成的混合料离析。</w:t>
      </w:r>
    </w:p>
    <w:p w14:paraId="1D6FFAC6">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⑤运料车卸料必须倒净，否则必须及时清除。</w:t>
      </w:r>
    </w:p>
    <w:p w14:paraId="3AC70D8F">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⑥运料车到达现场后，应检查沥青混合料温度，必须满足摊铺温度要求。</w:t>
      </w:r>
    </w:p>
    <w:p w14:paraId="3D703423">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w:t>
      </w:r>
      <w:r>
        <w:rPr>
          <w:rFonts w:ascii="宋体" w:hAnsi="宋体"/>
          <w:sz w:val="24"/>
        </w:rPr>
        <w:t>4</w:t>
      </w:r>
      <w:r>
        <w:rPr>
          <w:rFonts w:hint="eastAsia" w:ascii="宋体" w:hAnsi="宋体"/>
          <w:sz w:val="24"/>
        </w:rPr>
        <w:t>)混合料的摊铺</w:t>
      </w:r>
    </w:p>
    <w:p w14:paraId="2103921B">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①铺筑沥青混合料前应检查确认下面层的质量，当下层质量不符合要求时，不得铺筑沥青面层。</w:t>
      </w:r>
    </w:p>
    <w:p w14:paraId="41A9D223">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②热拌沥青混合料应采用机械摊铺。摊铺机应符合下列要求：</w:t>
      </w:r>
    </w:p>
    <w:p w14:paraId="62CACA51">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a具有自动方式摊铺厚度及找平的装置：</w:t>
      </w:r>
    </w:p>
    <w:p w14:paraId="40079B60">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b有足够容量的受料斗，在运料车换车时能连续摊铺，并有足够的功率推动运料车前进；</w:t>
      </w:r>
    </w:p>
    <w:p w14:paraId="17E7062E">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c有可加热的振动熨平板或振动夯实等初步压实装置；</w:t>
      </w:r>
    </w:p>
    <w:p w14:paraId="4906CC82">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d摊铺机宽度可调整。</w:t>
      </w:r>
    </w:p>
    <w:p w14:paraId="222BFD0F">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③施工气温低于10℃时，不得摊铺热拌沥青混合料。</w:t>
      </w:r>
    </w:p>
    <w:p w14:paraId="01287483">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④沥青混合料必须缓慢、均匀连续不间断地摊铺。摊铺过程中不得随意变换速度或中途停顿，摊铺速度应根据拌和机产量、施工机械配套情况以及摊铺层厚度、宽度确定，一般控制在1.5～4m/min为宜。</w:t>
      </w:r>
    </w:p>
    <w:p w14:paraId="64020B84">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⑤现场摊铺温度普通沥青混合料应不低于130℃。</w:t>
      </w:r>
    </w:p>
    <w:p w14:paraId="3D036005">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w:t>
      </w:r>
      <w:r>
        <w:rPr>
          <w:rFonts w:ascii="宋体" w:hAnsi="宋体"/>
          <w:sz w:val="24"/>
        </w:rPr>
        <w:t>5</w:t>
      </w:r>
      <w:r>
        <w:rPr>
          <w:rFonts w:hint="eastAsia" w:ascii="宋体" w:hAnsi="宋体"/>
          <w:sz w:val="24"/>
        </w:rPr>
        <w:t>)热拌沥青混合料的压实及成型</w:t>
      </w:r>
    </w:p>
    <w:p w14:paraId="07CFBB9F">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①压实后的各层沥青混合料应符合压实度及平整度的要求。</w:t>
      </w:r>
    </w:p>
    <w:p w14:paraId="077A0045">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②施工单位应配备12吨以上重型振动压路机及25t的轮胎压路机，应选择合理的压路机组合方式及碾压步骤，下面层复压必须采用重型的轮胎压路机进行搓揉碾压，以增加密水性。为达到最佳结果，沥青混合料压实宜采用组合的方式，压路机数量根据生产率决定。</w:t>
      </w:r>
    </w:p>
    <w:p w14:paraId="04A7A17D">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③沥青混合料初压温度不得低于120℃，终压温度不得低于80℃。</w:t>
      </w:r>
    </w:p>
    <w:p w14:paraId="06375B61">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④碾压过程中，要严格控制混合料的碾压温度。要严格控制压路机的洒水量，并使用热水，以减少洒水导致的混合料温度降低，保证混合料的碾压温度。洒水量以保证混合料不粘轮为原则，要求洒水必须为清雾状，严禁洒水形成水流。胶轮压路机工作前应对轮胎进行预热，涂抹完植物油上路碾压。</w:t>
      </w:r>
    </w:p>
    <w:p w14:paraId="18DB2C06">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⑤混合料未压实前，严禁压路机停留或转急弯调头等。压路机开振动时，振动的振幅应与速度相配合，以免出现波浪，且必须在压路机已经启动的时候才能开启振动，以免在同一位置振动过多产生凹陷和突起。</w:t>
      </w:r>
    </w:p>
    <w:p w14:paraId="46063BE5">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⑥振动压路机应遵循“紧跟、慢压、高频、低幅”的原则，紧跟在摊铺机后面，采用高频率、低振幅的方式慢速碾压。</w:t>
      </w:r>
    </w:p>
    <w:p w14:paraId="5A7FDEB3">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w:t>
      </w:r>
      <w:r>
        <w:rPr>
          <w:rFonts w:ascii="宋体" w:hAnsi="宋体"/>
          <w:sz w:val="24"/>
        </w:rPr>
        <w:t>6</w:t>
      </w:r>
      <w:r>
        <w:rPr>
          <w:rFonts w:hint="eastAsia" w:ascii="宋体" w:hAnsi="宋体"/>
          <w:sz w:val="24"/>
        </w:rPr>
        <w:t>)在施工缝及构造物两端的连接处必须仔细操作，保证紧密、平顺。</w:t>
      </w:r>
    </w:p>
    <w:p w14:paraId="26FD91E0">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w:t>
      </w:r>
      <w:r>
        <w:rPr>
          <w:rFonts w:ascii="宋体" w:hAnsi="宋体"/>
          <w:sz w:val="24"/>
        </w:rPr>
        <w:t>7</w:t>
      </w:r>
      <w:r>
        <w:rPr>
          <w:rFonts w:hint="eastAsia" w:ascii="宋体" w:hAnsi="宋体"/>
          <w:sz w:val="24"/>
        </w:rPr>
        <w:t>)热拌沥青混合料应待摊铺层自然冷却，混合料表面温度低于50℃后，方可开放交通。</w:t>
      </w:r>
    </w:p>
    <w:p w14:paraId="1B2171F3">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w:t>
      </w:r>
      <w:r>
        <w:rPr>
          <w:rFonts w:ascii="宋体" w:hAnsi="宋体"/>
          <w:sz w:val="24"/>
        </w:rPr>
        <w:t>8</w:t>
      </w:r>
      <w:r>
        <w:rPr>
          <w:rFonts w:hint="eastAsia" w:ascii="宋体" w:hAnsi="宋体"/>
          <w:sz w:val="24"/>
        </w:rPr>
        <w:t>)沥青路面的施工要求上面层与下面层应连续施工，施工上面层时，下面层应洁净、无污染。</w:t>
      </w:r>
    </w:p>
    <w:p w14:paraId="7BBD80F0">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lang w:val="en-US" w:eastAsia="zh-CN"/>
        </w:rPr>
        <w:t>5</w:t>
      </w:r>
      <w:r>
        <w:rPr>
          <w:rFonts w:hint="eastAsia" w:ascii="宋体" w:hAnsi="宋体"/>
          <w:sz w:val="24"/>
        </w:rPr>
        <w:t>、半刚性基层施工要点</w:t>
      </w:r>
    </w:p>
    <w:p w14:paraId="00C7F4D0">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bookmarkStart w:id="2" w:name="_Hlk43831654"/>
      <w:r>
        <w:rPr>
          <w:rFonts w:hint="eastAsia" w:ascii="宋体" w:hAnsi="宋体"/>
          <w:sz w:val="24"/>
        </w:rPr>
        <w:t>(1)半刚性基层采用厂拌。</w:t>
      </w:r>
    </w:p>
    <w:p w14:paraId="1EE9D436">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(2)拌和时配料必须准确，拌和应均匀，颗粒级配应符合设计要求。</w:t>
      </w:r>
    </w:p>
    <w:bookmarkEnd w:id="2"/>
    <w:p w14:paraId="226F3BA0">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)应采用摊铺功率不低于120KW的沥青混凝土摊铺机或稳定料摊铺机摊铺混合料。</w:t>
      </w:r>
    </w:p>
    <w:p w14:paraId="08C92E94">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w:t>
      </w:r>
      <w:r>
        <w:rPr>
          <w:rFonts w:ascii="宋体" w:hAnsi="宋体"/>
          <w:sz w:val="24"/>
        </w:rPr>
        <w:t>4</w:t>
      </w:r>
      <w:r>
        <w:rPr>
          <w:rFonts w:hint="eastAsia" w:ascii="宋体" w:hAnsi="宋体"/>
          <w:sz w:val="24"/>
        </w:rPr>
        <w:t>)25cm基层宜采用重型压路机单层施工，水稳料从拌和到第二层碾压完毕的时间要小于水泥的初凝时间，二层碾压一次养生，确保基层不分层、成为一体。分层施工时，下承层清理后应封闭交通，在上层施工前1～2h，宜撒布水泥或洒铺水泥净浆。</w:t>
      </w:r>
    </w:p>
    <w:p w14:paraId="7B7D3295">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半刚性基层施工时，应严格掌握基层厚度，本工程采用基准钢丝法调平，因此必须设置支撑杆，敷设基准钢丝，并用专用工具，使其张紧力不小于100kN，钢丝挠度不超过规定值；应控制基层顶面的横坡度在正常误差范围内，不得小于1.5%。</w:t>
      </w:r>
    </w:p>
    <w:p w14:paraId="4ACD5DFB">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(5)半刚性基层施工期的日最低气温应在5℃以上。</w:t>
      </w:r>
    </w:p>
    <w:p w14:paraId="048C2DA4">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(6)半刚性基层摊铺时，应设专人消除粗细集料离析现象，特别应铲除局部粗集料“窝”，并用新拌混合料填补。</w:t>
      </w:r>
    </w:p>
    <w:p w14:paraId="1C068CFD">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(7)应使用12吨以上的重型振动压路机碾压。压路机不得停在未压实的基层上，并不准在其上急刹车、急转弯和调头；振动压路机前进、后退换档时，应先停振再换档；若需停机时，应先停振再停机；终压前检测一次标高，若发现高程超过规定时，应用平地机刮至规定值，再整平碾压；碾压完成后应采用洒水车洒水并用土工布等材料覆盖进行养生时间应在7d以上，整个养生其问必须始终保持基层或底基层表面潮湿，并应封闭交通。一般采用撒水养生法，每天撒水视气候条件而定，应始终保持湿润，做好养生期的记录。任何由于外界因素引起的局部损坏，必须采取措施及时修补。气温较低时应适当延长养生期。养生期满后，基层应及时施工沥青封闭层。封闭后的基层上，只允许通行本路段面层施工作业车辆。</w:t>
      </w:r>
    </w:p>
    <w:p w14:paraId="51C8BBFD">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(8)施工时应严格控制基层厚度和高程，路拱坡度应与路面一致，基层表面应平整无轮迹，严禁用薄层贴补法进行找平。</w:t>
      </w:r>
    </w:p>
    <w:p w14:paraId="79A44027">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(9)横缝每天铺完至第二天开始，间隔约有12h左右，连接面应作适当处理，方法为摊铺前在碾压完成的基层末端标高和平整度不合要求的沿横贯摊铺层全宽将末端凿除，直凿到下承层表面及路中心线垂直，连接面切成垂直面。摊铺前最好在凿除断面上刷水泥浆，保证新旧混合料良好的粘接。禁止采用斜接缝。</w:t>
      </w:r>
    </w:p>
    <w:p w14:paraId="3BE9BF17">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(10)基层在养生过程中出现裂缝、经过弯沉检测，结构层的承载能力满足设计要求时，可继续铺筑上面的沥青面层，也可采取在裂缝位置灌缝、在裂缝位置铺设玻璃纤维格栅、洒铺热改性沥青等措施。</w:t>
      </w:r>
    </w:p>
    <w:p w14:paraId="4EBC6EFE">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sz w:val="24"/>
        </w:rPr>
      </w:pPr>
      <w:r>
        <w:rPr>
          <w:rFonts w:hint="eastAsia" w:ascii="宋体" w:hAnsi="宋体"/>
          <w:sz w:val="24"/>
        </w:rPr>
        <w:t>(11)基层在养生7～10d应进行弯沉检测，满足要求方可继续施工上层。</w:t>
      </w:r>
    </w:p>
    <w:p w14:paraId="570B9E81">
      <w:pPr>
        <w:keepNext w:val="0"/>
        <w:keepLines w:val="0"/>
        <w:pageBreakBefore w:val="0"/>
        <w:kinsoku/>
        <w:wordWrap/>
        <w:overflowPunct/>
        <w:topLinePunct w:val="0"/>
        <w:autoSpaceDE/>
        <w:autoSpaceDN/>
        <w:bidi w:val="0"/>
        <w:snapToGrid/>
        <w:spacing w:line="288" w:lineRule="auto"/>
        <w:ind w:firstLine="480" w:firstLineChars="200"/>
        <w:textAlignment w:val="auto"/>
        <w:rPr>
          <w:rFonts w:hint="eastAsia" w:ascii="宋体" w:hAnsi="宋体"/>
          <w:sz w:val="24"/>
        </w:rPr>
      </w:pPr>
      <w:r>
        <w:rPr>
          <w:rFonts w:hint="eastAsia" w:ascii="宋体" w:hAnsi="宋体"/>
          <w:sz w:val="24"/>
        </w:rPr>
        <w:t>(12)半刚性基层养生7d后，施工需要通行重型货车时，应有专人指挥，按规定的车道行驶，且车速应不大于30km/h。</w:t>
      </w:r>
    </w:p>
    <w:p w14:paraId="0216270C">
      <w:pPr>
        <w:keepNext w:val="0"/>
        <w:keepLines w:val="0"/>
        <w:pageBreakBefore w:val="0"/>
        <w:kinsoku/>
        <w:wordWrap/>
        <w:overflowPunct/>
        <w:topLinePunct w:val="0"/>
        <w:autoSpaceDE/>
        <w:autoSpaceDN/>
        <w:bidi w:val="0"/>
        <w:snapToGrid/>
        <w:spacing w:line="288" w:lineRule="auto"/>
        <w:ind w:firstLine="480" w:firstLineChars="200"/>
        <w:textAlignment w:val="auto"/>
        <w:rPr>
          <w:rFonts w:hint="eastAsia" w:ascii="宋体" w:hAnsi="宋体" w:eastAsia="宋体" w:cs="Times New Roman"/>
          <w:sz w:val="24"/>
          <w:lang w:val="en-US" w:eastAsia="zh-CN"/>
        </w:rPr>
      </w:pPr>
      <w:r>
        <w:rPr>
          <w:rFonts w:hint="eastAsia" w:ascii="宋体" w:hAnsi="宋体" w:eastAsia="宋体" w:cs="Times New Roman"/>
          <w:sz w:val="24"/>
          <w:lang w:val="en-US" w:eastAsia="zh-CN"/>
        </w:rPr>
        <w:t>6.圆管涵施工要求</w:t>
      </w:r>
    </w:p>
    <w:p w14:paraId="104FAD6C">
      <w:pPr>
        <w:keepNext w:val="0"/>
        <w:keepLines w:val="0"/>
        <w:pageBreakBefore w:val="0"/>
        <w:kinsoku/>
        <w:wordWrap/>
        <w:overflowPunct/>
        <w:topLinePunct w:val="0"/>
        <w:autoSpaceDE/>
        <w:autoSpaceDN/>
        <w:bidi w:val="0"/>
        <w:snapToGrid/>
        <w:spacing w:line="288"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rPr>
        <w:t>有关钢筋混凝土圆管涵的施工工艺、材料要求及质量检查标准，除按《公路桥涵施工技术规范》（JTG/T F50—2011）和《公路工程质量检验评定标准》（第一册 土建部分）（JTG F80/1—2017）有关条文办理外，还应特别注意以下事项:</w:t>
      </w:r>
    </w:p>
    <w:p w14:paraId="596F6C0D">
      <w:pPr>
        <w:keepNext w:val="0"/>
        <w:keepLines w:val="0"/>
        <w:pageBreakBefore w:val="0"/>
        <w:kinsoku/>
        <w:wordWrap/>
        <w:overflowPunct/>
        <w:topLinePunct w:val="0"/>
        <w:autoSpaceDE/>
        <w:autoSpaceDN/>
        <w:bidi w:val="0"/>
        <w:snapToGrid/>
        <w:spacing w:line="288"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rPr>
        <w:t>(1)预制管节建议采用悬辊法旋转成型工艺，工厂集中预制或向水泥制管厂订制。</w:t>
      </w:r>
    </w:p>
    <w:p w14:paraId="554E7FD4">
      <w:pPr>
        <w:keepNext w:val="0"/>
        <w:keepLines w:val="0"/>
        <w:pageBreakBefore w:val="0"/>
        <w:kinsoku/>
        <w:wordWrap/>
        <w:overflowPunct/>
        <w:topLinePunct w:val="0"/>
        <w:autoSpaceDE/>
        <w:autoSpaceDN/>
        <w:bidi w:val="0"/>
        <w:snapToGrid/>
        <w:spacing w:line="288"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rPr>
        <w:t>(</w:t>
      </w:r>
      <w:r>
        <w:rPr>
          <w:rFonts w:hint="eastAsia" w:ascii="宋体" w:hAnsi="宋体" w:eastAsia="宋体" w:cs="Times New Roman"/>
          <w:sz w:val="24"/>
          <w:lang w:val="en-US" w:eastAsia="zh-CN"/>
        </w:rPr>
        <w:t>2</w:t>
      </w:r>
      <w:r>
        <w:rPr>
          <w:rFonts w:hint="eastAsia" w:ascii="宋体" w:hAnsi="宋体" w:eastAsia="宋体" w:cs="Times New Roman"/>
          <w:sz w:val="24"/>
        </w:rPr>
        <w:t>)管节必须在混凝土达到设计强度70%以后，才能脱模、堆放和运输。脱模应在管壁上注明适用的填土高度。</w:t>
      </w:r>
    </w:p>
    <w:p w14:paraId="3345C98E">
      <w:pPr>
        <w:keepNext w:val="0"/>
        <w:keepLines w:val="0"/>
        <w:pageBreakBefore w:val="0"/>
        <w:kinsoku/>
        <w:wordWrap/>
        <w:overflowPunct/>
        <w:topLinePunct w:val="0"/>
        <w:autoSpaceDE/>
        <w:autoSpaceDN/>
        <w:bidi w:val="0"/>
        <w:snapToGrid/>
        <w:spacing w:line="288"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rPr>
        <w:t>(</w:t>
      </w:r>
      <w:r>
        <w:rPr>
          <w:rFonts w:hint="eastAsia" w:ascii="宋体" w:hAnsi="宋体" w:eastAsia="宋体" w:cs="Times New Roman"/>
          <w:sz w:val="24"/>
          <w:lang w:val="en-US" w:eastAsia="zh-CN"/>
        </w:rPr>
        <w:t>3</w:t>
      </w:r>
      <w:r>
        <w:rPr>
          <w:rFonts w:hint="eastAsia" w:ascii="宋体" w:hAnsi="宋体" w:eastAsia="宋体" w:cs="Times New Roman"/>
          <w:sz w:val="24"/>
        </w:rPr>
        <w:t>)施工设计和施工放样时，必须注意管涵的全长与管节的配置以及洞口端墙的准确位置。</w:t>
      </w:r>
    </w:p>
    <w:p w14:paraId="1E253666">
      <w:pPr>
        <w:keepNext w:val="0"/>
        <w:keepLines w:val="0"/>
        <w:pageBreakBefore w:val="0"/>
        <w:kinsoku/>
        <w:wordWrap/>
        <w:overflowPunct/>
        <w:topLinePunct w:val="0"/>
        <w:autoSpaceDE/>
        <w:autoSpaceDN/>
        <w:bidi w:val="0"/>
        <w:snapToGrid/>
        <w:spacing w:line="288"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rPr>
        <w:t>(</w:t>
      </w:r>
      <w:r>
        <w:rPr>
          <w:rFonts w:hint="eastAsia" w:ascii="宋体" w:hAnsi="宋体" w:eastAsia="宋体" w:cs="Times New Roman"/>
          <w:sz w:val="24"/>
          <w:lang w:val="en-US" w:eastAsia="zh-CN"/>
        </w:rPr>
        <w:t>4</w:t>
      </w:r>
      <w:r>
        <w:rPr>
          <w:rFonts w:hint="eastAsia" w:ascii="宋体" w:hAnsi="宋体" w:eastAsia="宋体" w:cs="Times New Roman"/>
          <w:sz w:val="24"/>
        </w:rPr>
        <w:t>)涵洞顶上及涵身两侧在不小于两倍孔径范围内的填土需对称夯实，相对密度达到96%。</w:t>
      </w:r>
    </w:p>
    <w:p w14:paraId="20176E62">
      <w:pPr>
        <w:keepNext w:val="0"/>
        <w:keepLines w:val="0"/>
        <w:pageBreakBefore w:val="0"/>
        <w:kinsoku/>
        <w:wordWrap/>
        <w:overflowPunct/>
        <w:topLinePunct w:val="0"/>
        <w:autoSpaceDE/>
        <w:autoSpaceDN/>
        <w:bidi w:val="0"/>
        <w:snapToGrid/>
        <w:spacing w:line="288" w:lineRule="auto"/>
        <w:textAlignment w:val="auto"/>
        <w:rPr>
          <w:rFonts w:hint="eastAsia" w:ascii="宋体" w:hAnsi="宋体" w:eastAsia="宋体" w:cs="宋体"/>
          <w:b/>
          <w:sz w:val="24"/>
          <w:lang w:val="en-US" w:eastAsia="zh-CN"/>
        </w:rPr>
      </w:pPr>
      <w:r>
        <w:rPr>
          <w:rFonts w:hint="eastAsia" w:ascii="宋体" w:hAnsi="宋体" w:eastAsia="宋体" w:cs="宋体"/>
          <w:b/>
          <w:sz w:val="24"/>
          <w:lang w:val="en-US" w:eastAsia="zh-CN"/>
        </w:rPr>
        <w:t>六、施工组织设计说明</w:t>
      </w:r>
    </w:p>
    <w:p w14:paraId="07B71F37">
      <w:pPr>
        <w:keepNext w:val="0"/>
        <w:keepLines w:val="0"/>
        <w:pageBreakBefore w:val="0"/>
        <w:kinsoku/>
        <w:wordWrap/>
        <w:overflowPunct/>
        <w:topLinePunct w:val="0"/>
        <w:autoSpaceDE/>
        <w:autoSpaceDN/>
        <w:bidi w:val="0"/>
        <w:snapToGrid/>
        <w:spacing w:line="288" w:lineRule="auto"/>
        <w:ind w:right="53" w:rightChars="25" w:firstLine="562" w:firstLineChars="200"/>
        <w:textAlignment w:val="auto"/>
        <w:outlineLvl w:val="0"/>
        <w:rPr>
          <w:rFonts w:hint="eastAsia"/>
          <w:b/>
          <w:bCs/>
          <w:color w:val="auto"/>
          <w:sz w:val="28"/>
          <w:szCs w:val="28"/>
        </w:rPr>
      </w:pPr>
      <w:r>
        <w:rPr>
          <w:rFonts w:hint="eastAsia"/>
          <w:b/>
          <w:bCs/>
          <w:color w:val="auto"/>
          <w:sz w:val="28"/>
          <w:szCs w:val="28"/>
          <w:lang w:val="en-US" w:eastAsia="zh-CN"/>
        </w:rPr>
        <w:t>6</w:t>
      </w:r>
      <w:r>
        <w:rPr>
          <w:rFonts w:hint="eastAsia"/>
          <w:b/>
          <w:bCs/>
          <w:color w:val="auto"/>
          <w:sz w:val="28"/>
          <w:szCs w:val="28"/>
        </w:rPr>
        <w:t>.1建设工期</w:t>
      </w:r>
    </w:p>
    <w:p w14:paraId="2B77E475">
      <w:pPr>
        <w:keepNext w:val="0"/>
        <w:keepLines w:val="0"/>
        <w:pageBreakBefore w:val="0"/>
        <w:kinsoku/>
        <w:wordWrap/>
        <w:overflowPunct/>
        <w:topLinePunct w:val="0"/>
        <w:autoSpaceDE/>
        <w:autoSpaceDN/>
        <w:bidi w:val="0"/>
        <w:snapToGrid/>
        <w:spacing w:line="288"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rPr>
        <w:t>根据业主意见，本项目为202</w:t>
      </w:r>
      <w:r>
        <w:rPr>
          <w:rFonts w:hint="eastAsia" w:ascii="宋体" w:hAnsi="宋体" w:eastAsia="宋体" w:cs="Times New Roman"/>
          <w:sz w:val="24"/>
          <w:lang w:val="en-US" w:eastAsia="zh-CN"/>
        </w:rPr>
        <w:t>5</w:t>
      </w:r>
      <w:r>
        <w:rPr>
          <w:rFonts w:hint="eastAsia" w:ascii="宋体" w:hAnsi="宋体" w:eastAsia="宋体" w:cs="Times New Roman"/>
          <w:sz w:val="24"/>
        </w:rPr>
        <w:t>年移民项目,本项目建设工期为202</w:t>
      </w:r>
      <w:r>
        <w:rPr>
          <w:rFonts w:hint="eastAsia" w:ascii="宋体" w:hAnsi="宋体" w:eastAsia="宋体" w:cs="Times New Roman"/>
          <w:sz w:val="24"/>
          <w:lang w:val="en-US" w:eastAsia="zh-CN"/>
        </w:rPr>
        <w:t>5</w:t>
      </w:r>
      <w:r>
        <w:rPr>
          <w:rFonts w:hint="eastAsia" w:ascii="宋体" w:hAnsi="宋体" w:eastAsia="宋体" w:cs="Times New Roman"/>
          <w:sz w:val="24"/>
        </w:rPr>
        <w:t>年</w:t>
      </w:r>
      <w:r>
        <w:rPr>
          <w:rFonts w:hint="eastAsia" w:ascii="宋体" w:hAnsi="宋体" w:eastAsia="宋体" w:cs="Times New Roman"/>
          <w:sz w:val="24"/>
          <w:lang w:val="en-US" w:eastAsia="zh-CN"/>
        </w:rPr>
        <w:t>5</w:t>
      </w:r>
      <w:r>
        <w:rPr>
          <w:rFonts w:hint="eastAsia" w:ascii="宋体" w:hAnsi="宋体" w:eastAsia="宋体" w:cs="Times New Roman"/>
          <w:sz w:val="24"/>
        </w:rPr>
        <w:t>月-202</w:t>
      </w:r>
      <w:r>
        <w:rPr>
          <w:rFonts w:hint="eastAsia" w:ascii="宋体" w:hAnsi="宋体" w:cs="Times New Roman"/>
          <w:sz w:val="24"/>
          <w:lang w:val="en-US" w:eastAsia="zh-CN"/>
        </w:rPr>
        <w:t>5</w:t>
      </w:r>
      <w:r>
        <w:rPr>
          <w:rFonts w:hint="eastAsia" w:ascii="宋体" w:hAnsi="宋体" w:eastAsia="宋体" w:cs="Times New Roman"/>
          <w:sz w:val="24"/>
        </w:rPr>
        <w:t>年</w:t>
      </w:r>
      <w:r>
        <w:rPr>
          <w:rFonts w:hint="eastAsia" w:ascii="宋体" w:hAnsi="宋体" w:eastAsia="宋体" w:cs="Times New Roman"/>
          <w:sz w:val="24"/>
          <w:lang w:val="en-US" w:eastAsia="zh-CN"/>
        </w:rPr>
        <w:t>8</w:t>
      </w:r>
      <w:r>
        <w:rPr>
          <w:rFonts w:hint="eastAsia" w:ascii="宋体" w:hAnsi="宋体" w:eastAsia="宋体" w:cs="Times New Roman"/>
          <w:sz w:val="24"/>
        </w:rPr>
        <w:t>月。</w:t>
      </w:r>
    </w:p>
    <w:p w14:paraId="200B820B">
      <w:pPr>
        <w:keepNext w:val="0"/>
        <w:keepLines w:val="0"/>
        <w:pageBreakBefore w:val="0"/>
        <w:kinsoku/>
        <w:wordWrap/>
        <w:overflowPunct/>
        <w:topLinePunct w:val="0"/>
        <w:autoSpaceDE/>
        <w:autoSpaceDN/>
        <w:bidi w:val="0"/>
        <w:snapToGrid/>
        <w:spacing w:line="288" w:lineRule="auto"/>
        <w:ind w:right="53" w:rightChars="25" w:firstLine="562" w:firstLineChars="200"/>
        <w:textAlignment w:val="auto"/>
        <w:outlineLvl w:val="0"/>
        <w:rPr>
          <w:rFonts w:hint="eastAsia" w:ascii="Times New Roman" w:hAnsi="Times New Roman" w:eastAsia="宋体" w:cs="Times New Roman"/>
          <w:b/>
          <w:bCs/>
          <w:color w:val="auto"/>
          <w:sz w:val="28"/>
          <w:szCs w:val="28"/>
          <w:lang w:val="en-US" w:eastAsia="zh-CN"/>
        </w:rPr>
      </w:pPr>
      <w:r>
        <w:rPr>
          <w:rFonts w:hint="eastAsia" w:ascii="Times New Roman" w:hAnsi="Times New Roman" w:eastAsia="宋体" w:cs="Times New Roman"/>
          <w:b/>
          <w:bCs/>
          <w:color w:val="auto"/>
          <w:sz w:val="28"/>
          <w:szCs w:val="28"/>
          <w:lang w:val="en-US" w:eastAsia="zh-CN"/>
        </w:rPr>
        <w:t>6.2施工组织、施工期限、主要工程的施工方法、工期、进度及措施</w:t>
      </w:r>
    </w:p>
    <w:p w14:paraId="39AEBF34">
      <w:pPr>
        <w:keepNext w:val="0"/>
        <w:keepLines w:val="0"/>
        <w:pageBreakBefore w:val="0"/>
        <w:kinsoku/>
        <w:wordWrap/>
        <w:overflowPunct/>
        <w:topLinePunct w:val="0"/>
        <w:autoSpaceDE/>
        <w:autoSpaceDN/>
        <w:bidi w:val="0"/>
        <w:snapToGrid/>
        <w:spacing w:line="288"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rPr>
        <w:t>1、</w:t>
      </w:r>
      <w:r>
        <w:rPr>
          <w:rFonts w:hint="eastAsia" w:ascii="宋体" w:hAnsi="宋体" w:eastAsia="宋体" w:cs="Times New Roman"/>
          <w:sz w:val="24"/>
          <w:lang w:val="en-US" w:eastAsia="zh-CN"/>
        </w:rPr>
        <w:t>桥涵</w:t>
      </w:r>
      <w:r>
        <w:rPr>
          <w:rFonts w:hint="eastAsia" w:ascii="宋体" w:hAnsi="宋体" w:eastAsia="宋体" w:cs="Times New Roman"/>
          <w:sz w:val="24"/>
        </w:rPr>
        <w:t>工程：</w:t>
      </w:r>
    </w:p>
    <w:p w14:paraId="4C8811A8">
      <w:pPr>
        <w:keepNext w:val="0"/>
        <w:keepLines w:val="0"/>
        <w:pageBreakBefore w:val="0"/>
        <w:kinsoku/>
        <w:wordWrap/>
        <w:overflowPunct/>
        <w:topLinePunct w:val="0"/>
        <w:autoSpaceDE/>
        <w:autoSpaceDN/>
        <w:bidi w:val="0"/>
        <w:snapToGrid/>
        <w:spacing w:line="288"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rPr>
        <w:t>工期安排：202</w:t>
      </w:r>
      <w:r>
        <w:rPr>
          <w:rFonts w:hint="eastAsia" w:ascii="宋体" w:hAnsi="宋体" w:eastAsia="宋体" w:cs="Times New Roman"/>
          <w:sz w:val="24"/>
          <w:lang w:val="en-US" w:eastAsia="zh-CN"/>
        </w:rPr>
        <w:t>5</w:t>
      </w:r>
      <w:r>
        <w:rPr>
          <w:rFonts w:hint="eastAsia" w:ascii="宋体" w:hAnsi="宋体" w:eastAsia="宋体" w:cs="Times New Roman"/>
          <w:sz w:val="24"/>
        </w:rPr>
        <w:t>年</w:t>
      </w:r>
      <w:r>
        <w:rPr>
          <w:rFonts w:hint="eastAsia" w:ascii="宋体" w:hAnsi="宋体" w:eastAsia="宋体" w:cs="Times New Roman"/>
          <w:sz w:val="24"/>
          <w:lang w:val="en-US" w:eastAsia="zh-CN"/>
        </w:rPr>
        <w:t>5</w:t>
      </w:r>
      <w:r>
        <w:rPr>
          <w:rFonts w:hint="eastAsia" w:ascii="宋体" w:hAnsi="宋体" w:eastAsia="宋体" w:cs="Times New Roman"/>
          <w:sz w:val="24"/>
        </w:rPr>
        <w:t>月-202</w:t>
      </w:r>
      <w:r>
        <w:rPr>
          <w:rFonts w:hint="eastAsia" w:ascii="宋体" w:hAnsi="宋体" w:eastAsia="宋体" w:cs="Times New Roman"/>
          <w:sz w:val="24"/>
          <w:lang w:val="en-US" w:eastAsia="zh-CN"/>
        </w:rPr>
        <w:t>5</w:t>
      </w:r>
      <w:r>
        <w:rPr>
          <w:rFonts w:hint="eastAsia" w:ascii="宋体" w:hAnsi="宋体" w:eastAsia="宋体" w:cs="Times New Roman"/>
          <w:sz w:val="24"/>
        </w:rPr>
        <w:t>年</w:t>
      </w:r>
      <w:r>
        <w:rPr>
          <w:rFonts w:hint="eastAsia" w:ascii="宋体" w:hAnsi="宋体" w:eastAsia="宋体" w:cs="Times New Roman"/>
          <w:sz w:val="24"/>
          <w:lang w:val="en-US" w:eastAsia="zh-CN"/>
        </w:rPr>
        <w:t>6</w:t>
      </w:r>
      <w:r>
        <w:rPr>
          <w:rFonts w:hint="eastAsia" w:ascii="宋体" w:hAnsi="宋体" w:eastAsia="宋体" w:cs="Times New Roman"/>
          <w:sz w:val="24"/>
        </w:rPr>
        <w:t>月。</w:t>
      </w:r>
      <w:bookmarkStart w:id="3" w:name="_GoBack"/>
      <w:bookmarkEnd w:id="3"/>
    </w:p>
    <w:p w14:paraId="082E2516">
      <w:pPr>
        <w:keepNext w:val="0"/>
        <w:keepLines w:val="0"/>
        <w:pageBreakBefore w:val="0"/>
        <w:kinsoku/>
        <w:wordWrap/>
        <w:overflowPunct/>
        <w:topLinePunct w:val="0"/>
        <w:autoSpaceDE/>
        <w:autoSpaceDN/>
        <w:bidi w:val="0"/>
        <w:snapToGrid/>
        <w:spacing w:line="288"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lang w:val="en-US" w:eastAsia="zh-CN"/>
        </w:rPr>
        <w:t>2</w:t>
      </w:r>
      <w:r>
        <w:rPr>
          <w:rFonts w:hint="eastAsia" w:ascii="宋体" w:hAnsi="宋体" w:eastAsia="宋体" w:cs="Times New Roman"/>
          <w:sz w:val="24"/>
        </w:rPr>
        <w:t>、路基工程：</w:t>
      </w:r>
    </w:p>
    <w:p w14:paraId="5DDE2710">
      <w:pPr>
        <w:keepNext w:val="0"/>
        <w:keepLines w:val="0"/>
        <w:pageBreakBefore w:val="0"/>
        <w:kinsoku/>
        <w:wordWrap/>
        <w:overflowPunct/>
        <w:topLinePunct w:val="0"/>
        <w:autoSpaceDE/>
        <w:autoSpaceDN/>
        <w:bidi w:val="0"/>
        <w:snapToGrid/>
        <w:spacing w:line="288"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rPr>
        <w:t>工期安排：202</w:t>
      </w:r>
      <w:r>
        <w:rPr>
          <w:rFonts w:hint="eastAsia" w:ascii="宋体" w:hAnsi="宋体" w:eastAsia="宋体" w:cs="Times New Roman"/>
          <w:sz w:val="24"/>
          <w:lang w:val="en-US" w:eastAsia="zh-CN"/>
        </w:rPr>
        <w:t>5</w:t>
      </w:r>
      <w:r>
        <w:rPr>
          <w:rFonts w:hint="eastAsia" w:ascii="宋体" w:hAnsi="宋体" w:eastAsia="宋体" w:cs="Times New Roman"/>
          <w:sz w:val="24"/>
        </w:rPr>
        <w:t>年</w:t>
      </w:r>
      <w:r>
        <w:rPr>
          <w:rFonts w:hint="eastAsia" w:ascii="宋体" w:hAnsi="宋体" w:eastAsia="宋体" w:cs="Times New Roman"/>
          <w:sz w:val="24"/>
          <w:lang w:val="en-US" w:eastAsia="zh-CN"/>
        </w:rPr>
        <w:t>6</w:t>
      </w:r>
      <w:r>
        <w:rPr>
          <w:rFonts w:hint="eastAsia" w:ascii="宋体" w:hAnsi="宋体" w:eastAsia="宋体" w:cs="Times New Roman"/>
          <w:sz w:val="24"/>
        </w:rPr>
        <w:t>月-202</w:t>
      </w:r>
      <w:r>
        <w:rPr>
          <w:rFonts w:hint="eastAsia" w:ascii="宋体" w:hAnsi="宋体" w:eastAsia="宋体" w:cs="Times New Roman"/>
          <w:sz w:val="24"/>
          <w:lang w:val="en-US" w:eastAsia="zh-CN"/>
        </w:rPr>
        <w:t>5</w:t>
      </w:r>
      <w:r>
        <w:rPr>
          <w:rFonts w:hint="eastAsia" w:ascii="宋体" w:hAnsi="宋体" w:eastAsia="宋体" w:cs="Times New Roman"/>
          <w:sz w:val="24"/>
        </w:rPr>
        <w:t>年</w:t>
      </w:r>
      <w:r>
        <w:rPr>
          <w:rFonts w:hint="eastAsia" w:ascii="宋体" w:hAnsi="宋体" w:eastAsia="宋体" w:cs="Times New Roman"/>
          <w:sz w:val="24"/>
          <w:lang w:val="en-US" w:eastAsia="zh-CN"/>
        </w:rPr>
        <w:t>7</w:t>
      </w:r>
      <w:r>
        <w:rPr>
          <w:rFonts w:hint="eastAsia" w:ascii="宋体" w:hAnsi="宋体" w:eastAsia="宋体" w:cs="Times New Roman"/>
          <w:sz w:val="24"/>
        </w:rPr>
        <w:t>月。为保证工程进度，施工时，可采取多个作业面同时施工。</w:t>
      </w:r>
    </w:p>
    <w:p w14:paraId="441B98EA">
      <w:pPr>
        <w:keepNext w:val="0"/>
        <w:keepLines w:val="0"/>
        <w:pageBreakBefore w:val="0"/>
        <w:kinsoku/>
        <w:wordWrap/>
        <w:overflowPunct/>
        <w:topLinePunct w:val="0"/>
        <w:autoSpaceDE/>
        <w:autoSpaceDN/>
        <w:bidi w:val="0"/>
        <w:snapToGrid/>
        <w:spacing w:line="288"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lang w:val="en-US" w:eastAsia="zh-CN"/>
        </w:rPr>
        <w:t>3</w:t>
      </w:r>
      <w:r>
        <w:rPr>
          <w:rFonts w:hint="eastAsia" w:ascii="宋体" w:hAnsi="宋体" w:eastAsia="宋体" w:cs="Times New Roman"/>
          <w:sz w:val="24"/>
        </w:rPr>
        <w:t>、路面工程：</w:t>
      </w:r>
    </w:p>
    <w:p w14:paraId="5F740B09">
      <w:pPr>
        <w:keepNext w:val="0"/>
        <w:keepLines w:val="0"/>
        <w:pageBreakBefore w:val="0"/>
        <w:kinsoku/>
        <w:wordWrap/>
        <w:overflowPunct/>
        <w:topLinePunct w:val="0"/>
        <w:autoSpaceDE/>
        <w:autoSpaceDN/>
        <w:bidi w:val="0"/>
        <w:snapToGrid/>
        <w:spacing w:line="288"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rPr>
        <w:t>全线面层采用机械摊铺。结构层为</w:t>
      </w:r>
      <w:r>
        <w:rPr>
          <w:rFonts w:hint="eastAsia" w:ascii="宋体" w:hAnsi="宋体" w:eastAsia="宋体" w:cs="Times New Roman"/>
          <w:sz w:val="24"/>
          <w:lang w:val="en-US" w:eastAsia="zh-CN"/>
        </w:rPr>
        <w:t>5cm中粒式沥青混凝土</w:t>
      </w:r>
      <w:r>
        <w:rPr>
          <w:rFonts w:hint="eastAsia" w:ascii="宋体" w:hAnsi="宋体" w:eastAsia="宋体" w:cs="Times New Roman"/>
          <w:sz w:val="24"/>
        </w:rPr>
        <w:t>面层。</w:t>
      </w:r>
    </w:p>
    <w:p w14:paraId="10DD9450">
      <w:pPr>
        <w:keepNext w:val="0"/>
        <w:keepLines w:val="0"/>
        <w:pageBreakBefore w:val="0"/>
        <w:kinsoku/>
        <w:wordWrap/>
        <w:overflowPunct/>
        <w:topLinePunct w:val="0"/>
        <w:autoSpaceDE/>
        <w:autoSpaceDN/>
        <w:bidi w:val="0"/>
        <w:snapToGrid/>
        <w:spacing w:line="288"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rPr>
        <w:t>工期安排：基层202</w:t>
      </w:r>
      <w:r>
        <w:rPr>
          <w:rFonts w:hint="eastAsia" w:ascii="宋体" w:hAnsi="宋体" w:eastAsia="宋体" w:cs="Times New Roman"/>
          <w:sz w:val="24"/>
          <w:lang w:val="en-US" w:eastAsia="zh-CN"/>
        </w:rPr>
        <w:t>5</w:t>
      </w:r>
      <w:r>
        <w:rPr>
          <w:rFonts w:hint="eastAsia" w:ascii="宋体" w:hAnsi="宋体" w:eastAsia="宋体" w:cs="Times New Roman"/>
          <w:sz w:val="24"/>
        </w:rPr>
        <w:t>年</w:t>
      </w:r>
      <w:r>
        <w:rPr>
          <w:rFonts w:hint="eastAsia" w:ascii="宋体" w:hAnsi="宋体" w:eastAsia="宋体" w:cs="Times New Roman"/>
          <w:sz w:val="24"/>
          <w:lang w:val="en-US" w:eastAsia="zh-CN"/>
        </w:rPr>
        <w:t>7</w:t>
      </w:r>
      <w:r>
        <w:rPr>
          <w:rFonts w:hint="eastAsia" w:ascii="宋体" w:hAnsi="宋体" w:eastAsia="宋体" w:cs="Times New Roman"/>
          <w:sz w:val="24"/>
        </w:rPr>
        <w:t>月-202</w:t>
      </w:r>
      <w:r>
        <w:rPr>
          <w:rFonts w:hint="eastAsia" w:ascii="宋体" w:hAnsi="宋体" w:eastAsia="宋体" w:cs="Times New Roman"/>
          <w:sz w:val="24"/>
          <w:lang w:val="en-US" w:eastAsia="zh-CN"/>
        </w:rPr>
        <w:t>5</w:t>
      </w:r>
      <w:r>
        <w:rPr>
          <w:rFonts w:hint="eastAsia" w:ascii="宋体" w:hAnsi="宋体" w:eastAsia="宋体" w:cs="Times New Roman"/>
          <w:sz w:val="24"/>
        </w:rPr>
        <w:t>年</w:t>
      </w:r>
      <w:r>
        <w:rPr>
          <w:rFonts w:hint="eastAsia" w:ascii="宋体" w:hAnsi="宋体" w:eastAsia="宋体" w:cs="Times New Roman"/>
          <w:sz w:val="24"/>
          <w:lang w:val="en-US" w:eastAsia="zh-CN"/>
        </w:rPr>
        <w:t>8</w:t>
      </w:r>
      <w:r>
        <w:rPr>
          <w:rFonts w:hint="eastAsia" w:ascii="宋体" w:hAnsi="宋体" w:eastAsia="宋体" w:cs="Times New Roman"/>
          <w:sz w:val="24"/>
        </w:rPr>
        <w:t>月；路面面层202</w:t>
      </w:r>
      <w:r>
        <w:rPr>
          <w:rFonts w:hint="eastAsia" w:ascii="宋体" w:hAnsi="宋体" w:eastAsia="宋体" w:cs="Times New Roman"/>
          <w:sz w:val="24"/>
          <w:lang w:val="en-US" w:eastAsia="zh-CN"/>
        </w:rPr>
        <w:t>5</w:t>
      </w:r>
      <w:r>
        <w:rPr>
          <w:rFonts w:hint="eastAsia" w:ascii="宋体" w:hAnsi="宋体" w:eastAsia="宋体" w:cs="Times New Roman"/>
          <w:sz w:val="24"/>
        </w:rPr>
        <w:t>年</w:t>
      </w:r>
      <w:r>
        <w:rPr>
          <w:rFonts w:hint="eastAsia" w:ascii="宋体" w:hAnsi="宋体" w:eastAsia="宋体" w:cs="Times New Roman"/>
          <w:sz w:val="24"/>
          <w:lang w:val="en-US" w:eastAsia="zh-CN"/>
        </w:rPr>
        <w:t>7</w:t>
      </w:r>
      <w:r>
        <w:rPr>
          <w:rFonts w:hint="eastAsia" w:ascii="宋体" w:hAnsi="宋体" w:eastAsia="宋体" w:cs="Times New Roman"/>
          <w:sz w:val="24"/>
        </w:rPr>
        <w:t>月-202</w:t>
      </w:r>
      <w:r>
        <w:rPr>
          <w:rFonts w:hint="eastAsia" w:ascii="宋体" w:hAnsi="宋体" w:eastAsia="宋体" w:cs="Times New Roman"/>
          <w:sz w:val="24"/>
          <w:lang w:val="en-US" w:eastAsia="zh-CN"/>
        </w:rPr>
        <w:t>5</w:t>
      </w:r>
      <w:r>
        <w:rPr>
          <w:rFonts w:hint="eastAsia" w:ascii="宋体" w:hAnsi="宋体" w:eastAsia="宋体" w:cs="Times New Roman"/>
          <w:sz w:val="24"/>
        </w:rPr>
        <w:t>年</w:t>
      </w:r>
      <w:r>
        <w:rPr>
          <w:rFonts w:hint="eastAsia" w:ascii="宋体" w:hAnsi="宋体" w:eastAsia="宋体" w:cs="Times New Roman"/>
          <w:sz w:val="24"/>
          <w:lang w:val="en-US" w:eastAsia="zh-CN"/>
        </w:rPr>
        <w:t>8</w:t>
      </w:r>
      <w:r>
        <w:rPr>
          <w:rFonts w:hint="eastAsia" w:ascii="宋体" w:hAnsi="宋体" w:eastAsia="宋体" w:cs="Times New Roman"/>
          <w:sz w:val="24"/>
        </w:rPr>
        <w:t>月，交叉工程202</w:t>
      </w:r>
      <w:r>
        <w:rPr>
          <w:rFonts w:hint="eastAsia" w:ascii="宋体" w:hAnsi="宋体" w:eastAsia="宋体" w:cs="Times New Roman"/>
          <w:sz w:val="24"/>
          <w:lang w:val="en-US" w:eastAsia="zh-CN"/>
        </w:rPr>
        <w:t>5</w:t>
      </w:r>
      <w:r>
        <w:rPr>
          <w:rFonts w:hint="eastAsia" w:ascii="宋体" w:hAnsi="宋体" w:eastAsia="宋体" w:cs="Times New Roman"/>
          <w:sz w:val="24"/>
        </w:rPr>
        <w:t>年</w:t>
      </w:r>
      <w:r>
        <w:rPr>
          <w:rFonts w:hint="eastAsia" w:ascii="宋体" w:hAnsi="宋体" w:eastAsia="宋体" w:cs="Times New Roman"/>
          <w:sz w:val="24"/>
          <w:lang w:val="en-US" w:eastAsia="zh-CN"/>
        </w:rPr>
        <w:t>7</w:t>
      </w:r>
      <w:r>
        <w:rPr>
          <w:rFonts w:hint="eastAsia" w:ascii="宋体" w:hAnsi="宋体" w:eastAsia="宋体" w:cs="Times New Roman"/>
          <w:sz w:val="24"/>
        </w:rPr>
        <w:t>月-202</w:t>
      </w:r>
      <w:r>
        <w:rPr>
          <w:rFonts w:hint="eastAsia" w:ascii="宋体" w:hAnsi="宋体" w:eastAsia="宋体" w:cs="Times New Roman"/>
          <w:sz w:val="24"/>
          <w:lang w:val="en-US" w:eastAsia="zh-CN"/>
        </w:rPr>
        <w:t>5</w:t>
      </w:r>
      <w:r>
        <w:rPr>
          <w:rFonts w:hint="eastAsia" w:ascii="宋体" w:hAnsi="宋体" w:eastAsia="宋体" w:cs="Times New Roman"/>
          <w:sz w:val="24"/>
        </w:rPr>
        <w:t>年</w:t>
      </w:r>
      <w:r>
        <w:rPr>
          <w:rFonts w:hint="eastAsia" w:ascii="宋体" w:hAnsi="宋体" w:eastAsia="宋体" w:cs="Times New Roman"/>
          <w:sz w:val="24"/>
          <w:lang w:val="en-US" w:eastAsia="zh-CN"/>
        </w:rPr>
        <w:t>8</w:t>
      </w:r>
      <w:r>
        <w:rPr>
          <w:rFonts w:hint="eastAsia" w:ascii="宋体" w:hAnsi="宋体" w:eastAsia="宋体" w:cs="Times New Roman"/>
          <w:sz w:val="24"/>
        </w:rPr>
        <w:t>月。</w:t>
      </w:r>
    </w:p>
    <w:p w14:paraId="48178533">
      <w:pPr>
        <w:keepNext w:val="0"/>
        <w:keepLines w:val="0"/>
        <w:pageBreakBefore w:val="0"/>
        <w:kinsoku/>
        <w:wordWrap/>
        <w:overflowPunct/>
        <w:topLinePunct w:val="0"/>
        <w:autoSpaceDE/>
        <w:autoSpaceDN/>
        <w:bidi w:val="0"/>
        <w:snapToGrid/>
        <w:spacing w:line="288" w:lineRule="auto"/>
        <w:ind w:right="53" w:rightChars="25" w:firstLine="562" w:firstLineChars="200"/>
        <w:textAlignment w:val="auto"/>
        <w:outlineLvl w:val="0"/>
        <w:rPr>
          <w:rFonts w:hint="eastAsia" w:ascii="Times New Roman" w:hAnsi="Times New Roman" w:eastAsia="宋体" w:cs="Times New Roman"/>
          <w:b/>
          <w:bCs/>
          <w:color w:val="auto"/>
          <w:sz w:val="28"/>
          <w:szCs w:val="28"/>
          <w:lang w:val="en-US" w:eastAsia="zh-CN"/>
        </w:rPr>
      </w:pPr>
      <w:r>
        <w:rPr>
          <w:rFonts w:hint="eastAsia" w:ascii="Times New Roman" w:hAnsi="Times New Roman" w:eastAsia="宋体" w:cs="Times New Roman"/>
          <w:b/>
          <w:bCs/>
          <w:color w:val="auto"/>
          <w:sz w:val="28"/>
          <w:szCs w:val="28"/>
          <w:lang w:val="en-US" w:eastAsia="zh-CN"/>
        </w:rPr>
        <w:t>6.3冬季、雨季施工所采取的措施</w:t>
      </w:r>
    </w:p>
    <w:p w14:paraId="7B489A3E">
      <w:pPr>
        <w:keepNext w:val="0"/>
        <w:keepLines w:val="0"/>
        <w:pageBreakBefore w:val="0"/>
        <w:kinsoku/>
        <w:wordWrap/>
        <w:overflowPunct/>
        <w:topLinePunct w:val="0"/>
        <w:autoSpaceDE/>
        <w:autoSpaceDN/>
        <w:bidi w:val="0"/>
        <w:snapToGrid/>
        <w:spacing w:line="288"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rPr>
        <w:t>1、本工程不宜在冬季期施工。</w:t>
      </w:r>
    </w:p>
    <w:p w14:paraId="0A7ED02E">
      <w:pPr>
        <w:keepNext w:val="0"/>
        <w:keepLines w:val="0"/>
        <w:pageBreakBefore w:val="0"/>
        <w:kinsoku/>
        <w:wordWrap/>
        <w:overflowPunct/>
        <w:topLinePunct w:val="0"/>
        <w:autoSpaceDE/>
        <w:autoSpaceDN/>
        <w:bidi w:val="0"/>
        <w:snapToGrid/>
        <w:spacing w:line="288"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rPr>
        <w:pict>
          <v:shape id="_x0000_s1087" o:spid="_x0000_s1087" o:spt="202" type="#_x0000_t202" style="position:absolute;left:0pt;margin-left:992.15pt;margin-top:-680.1pt;height:54.85pt;width:81pt;z-index:25166540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">
            <v:path/>
            <v:fill on="f" focussize="0,0"/>
            <v:stroke on="f" joinstyle="miter"/>
            <v:imagedata o:title=""/>
            <o:lock v:ext="edit"/>
            <v:textbox>
              <w:txbxContent>
                <w:p w14:paraId="5952B4A6">
                  <w:pPr>
                    <w:rPr>
                      <w:rFonts w:ascii="宋体" w:hAnsi="宋体"/>
                      <w:b/>
                      <w:sz w:val="32"/>
                      <w:szCs w:val="32"/>
                    </w:rPr>
                  </w:pPr>
                  <w:r>
                    <w:rPr>
                      <w:rFonts w:hint="eastAsia" w:ascii="宋体" w:hAnsi="宋体"/>
                      <w:b/>
                      <w:sz w:val="32"/>
                      <w:szCs w:val="32"/>
                    </w:rPr>
                    <w:t>007</w:t>
                  </w:r>
                </w:p>
                <w:p w14:paraId="2A84A933">
                  <w:pPr>
                    <w:rPr>
                      <w:rFonts w:ascii="宋体" w:hAnsi="宋体"/>
                      <w:b/>
                      <w:sz w:val="24"/>
                    </w:rPr>
                  </w:pPr>
                  <w:r>
                    <w:rPr>
                      <w:rFonts w:hint="eastAsia" w:ascii="宋体" w:hAnsi="宋体"/>
                      <w:b/>
                      <w:sz w:val="24"/>
                    </w:rPr>
                    <w:t>C1-2</w:t>
                  </w:r>
                </w:p>
                <w:p w14:paraId="5EE18553">
                  <w:pPr>
                    <w:rPr>
                      <w:rFonts w:ascii="宋体" w:hAnsi="宋体"/>
                      <w:b/>
                      <w:sz w:val="32"/>
                      <w:szCs w:val="32"/>
                    </w:rPr>
                  </w:pPr>
                </w:p>
              </w:txbxContent>
            </v:textbox>
          </v:shape>
        </w:pict>
      </w:r>
      <w:r>
        <w:rPr>
          <w:rFonts w:hint="eastAsia" w:ascii="宋体" w:hAnsi="宋体" w:eastAsia="宋体" w:cs="Times New Roman"/>
          <w:sz w:val="24"/>
        </w:rPr>
        <w:t>2、雨季施工应综合规划、合理设置现场防排水系统，采取有效措施，及时引排地面水。</w:t>
      </w:r>
    </w:p>
    <w:p w14:paraId="0418E569">
      <w:pPr>
        <w:keepNext w:val="0"/>
        <w:keepLines w:val="0"/>
        <w:pageBreakBefore w:val="0"/>
        <w:kinsoku/>
        <w:wordWrap/>
        <w:overflowPunct/>
        <w:topLinePunct w:val="0"/>
        <w:autoSpaceDE/>
        <w:autoSpaceDN/>
        <w:bidi w:val="0"/>
        <w:snapToGrid/>
        <w:spacing w:line="288"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rPr>
        <w:t>3、对施工临时挤占的沟渠、河道应采取措施保证不降低原有的排水能力。</w:t>
      </w:r>
    </w:p>
    <w:p w14:paraId="7FA50832">
      <w:pPr>
        <w:keepNext w:val="0"/>
        <w:keepLines w:val="0"/>
        <w:pageBreakBefore w:val="0"/>
        <w:kinsoku/>
        <w:wordWrap/>
        <w:overflowPunct/>
        <w:topLinePunct w:val="0"/>
        <w:autoSpaceDE/>
        <w:autoSpaceDN/>
        <w:bidi w:val="0"/>
        <w:snapToGrid/>
        <w:spacing w:line="288"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rPr>
        <w:t>4、在雨季前应将原有路面基层处理好，整平基层，并设纵横排水坡。</w:t>
      </w:r>
    </w:p>
    <w:p w14:paraId="7C8FC726">
      <w:pPr>
        <w:keepNext w:val="0"/>
        <w:keepLines w:val="0"/>
        <w:pageBreakBefore w:val="0"/>
        <w:kinsoku/>
        <w:wordWrap/>
        <w:overflowPunct/>
        <w:topLinePunct w:val="0"/>
        <w:autoSpaceDE/>
        <w:autoSpaceDN/>
        <w:bidi w:val="0"/>
        <w:snapToGrid/>
        <w:spacing w:line="288"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rPr>
        <w:t>5、低洼地段，应在雨季前将原地面处理好。</w:t>
      </w:r>
    </w:p>
    <w:p w14:paraId="249E8E14">
      <w:pPr>
        <w:keepNext w:val="0"/>
        <w:keepLines w:val="0"/>
        <w:pageBreakBefore w:val="0"/>
        <w:kinsoku/>
        <w:wordWrap/>
        <w:overflowPunct/>
        <w:topLinePunct w:val="0"/>
        <w:autoSpaceDE/>
        <w:autoSpaceDN/>
        <w:bidi w:val="0"/>
        <w:snapToGrid/>
        <w:spacing w:line="288"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rPr>
        <w:t>6、结构物基坑在雨季开挖后未能及时施工时，应采取防浸泡措施，必要时雨后应对基坑地基承载力再次检测，以确定是否满足设计要求。</w:t>
      </w:r>
    </w:p>
    <w:p w14:paraId="688C9CDB">
      <w:pPr>
        <w:keepNext w:val="0"/>
        <w:keepLines w:val="0"/>
        <w:pageBreakBefore w:val="0"/>
        <w:kinsoku/>
        <w:wordWrap/>
        <w:overflowPunct/>
        <w:topLinePunct w:val="0"/>
        <w:autoSpaceDE/>
        <w:autoSpaceDN/>
        <w:bidi w:val="0"/>
        <w:snapToGrid/>
        <w:spacing w:line="288"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rPr>
        <w:t>7、制定雨季施工安全预案，做好防洪抢险的准备工作。</w:t>
      </w:r>
    </w:p>
    <w:p w14:paraId="1DE8A589">
      <w:pPr>
        <w:keepNext w:val="0"/>
        <w:keepLines w:val="0"/>
        <w:pageBreakBefore w:val="0"/>
        <w:kinsoku/>
        <w:wordWrap/>
        <w:overflowPunct/>
        <w:topLinePunct w:val="0"/>
        <w:autoSpaceDE/>
        <w:autoSpaceDN/>
        <w:bidi w:val="0"/>
        <w:snapToGrid/>
        <w:spacing w:line="288" w:lineRule="auto"/>
        <w:ind w:right="53" w:rightChars="25" w:firstLine="562" w:firstLineChars="200"/>
        <w:textAlignment w:val="auto"/>
        <w:outlineLvl w:val="0"/>
        <w:rPr>
          <w:rFonts w:hint="eastAsia" w:ascii="Times New Roman" w:hAnsi="Times New Roman" w:eastAsia="宋体" w:cs="Times New Roman"/>
          <w:b/>
          <w:bCs/>
          <w:color w:val="auto"/>
          <w:sz w:val="28"/>
          <w:szCs w:val="28"/>
          <w:lang w:val="en-US" w:eastAsia="zh-CN"/>
        </w:rPr>
      </w:pPr>
      <w:r>
        <w:rPr>
          <w:rFonts w:hint="eastAsia" w:ascii="Times New Roman" w:hAnsi="Times New Roman" w:eastAsia="宋体" w:cs="Times New Roman"/>
          <w:b/>
          <w:bCs/>
          <w:color w:val="auto"/>
          <w:sz w:val="28"/>
          <w:szCs w:val="28"/>
          <w:lang w:val="en-US" w:eastAsia="zh-CN"/>
        </w:rPr>
        <w:t>6.4施工准备工作的意见</w:t>
      </w:r>
    </w:p>
    <w:p w14:paraId="69FE8CCF">
      <w:pPr>
        <w:keepNext w:val="0"/>
        <w:keepLines w:val="0"/>
        <w:pageBreakBefore w:val="0"/>
        <w:kinsoku/>
        <w:wordWrap/>
        <w:overflowPunct/>
        <w:topLinePunct w:val="0"/>
        <w:autoSpaceDE/>
        <w:autoSpaceDN/>
        <w:bidi w:val="0"/>
        <w:snapToGrid/>
        <w:spacing w:line="288"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rPr>
        <w:t>1、施工时应设置必要的排水措施，保证不积水。</w:t>
      </w:r>
    </w:p>
    <w:p w14:paraId="4B0DD321">
      <w:pPr>
        <w:keepNext w:val="0"/>
        <w:keepLines w:val="0"/>
        <w:pageBreakBefore w:val="0"/>
        <w:kinsoku/>
        <w:wordWrap/>
        <w:overflowPunct/>
        <w:topLinePunct w:val="0"/>
        <w:autoSpaceDE/>
        <w:autoSpaceDN/>
        <w:bidi w:val="0"/>
        <w:snapToGrid/>
        <w:spacing w:line="288"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rPr>
        <w:t>2、根据近年的工程来看，雨季生产的砂石材料大多含泥量得不到很好控制，为保证质量和进度，地产材料应提前进行备料，规格砂石材料应在雨季到来之前完成，进场材料应进行苫盖处理。提前完成备料可减少运输重车对施工进度及质量的不利影。</w:t>
      </w:r>
    </w:p>
    <w:p w14:paraId="6B6DD573">
      <w:pPr>
        <w:keepNext w:val="0"/>
        <w:keepLines w:val="0"/>
        <w:pageBreakBefore w:val="0"/>
        <w:kinsoku/>
        <w:wordWrap/>
        <w:overflowPunct/>
        <w:topLinePunct w:val="0"/>
        <w:autoSpaceDE/>
        <w:autoSpaceDN/>
        <w:bidi w:val="0"/>
        <w:snapToGrid/>
        <w:spacing w:line="288" w:lineRule="auto"/>
        <w:textAlignment w:val="auto"/>
        <w:rPr>
          <w:rFonts w:ascii="宋体" w:hAnsi="宋体" w:cs="宋体"/>
          <w:b/>
          <w:sz w:val="24"/>
        </w:rPr>
      </w:pPr>
      <w:r>
        <w:rPr>
          <w:rFonts w:hint="eastAsia" w:ascii="宋体" w:hAnsi="宋体" w:cs="宋体"/>
          <w:b/>
          <w:sz w:val="24"/>
          <w:lang w:val="en-US" w:eastAsia="zh-CN"/>
        </w:rPr>
        <w:t>七</w:t>
      </w:r>
      <w:r>
        <w:rPr>
          <w:rFonts w:hint="eastAsia" w:ascii="宋体" w:hAnsi="宋体" w:cs="宋体"/>
          <w:b/>
          <w:sz w:val="24"/>
        </w:rPr>
        <w:t>、环境保护</w:t>
      </w:r>
    </w:p>
    <w:p w14:paraId="282FF265">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公路施工期间主要环境问题为因工程建设引起的粉尘污染、噪声、施工用水对周边环境的污染等问题。针对以上影响因素，设计中根据《公路环境保护设计规范》以及国家的有关环境保护法令、法规的要求，对可能造成环境影响的项目采取了必要、可行的工程措施，认真作好工程建设与环境保护之间的矛盾，切实抓好污染源的控制和治理工作，保护环境。</w:t>
      </w:r>
    </w:p>
    <w:p w14:paraId="340BB52F">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1、环境噪声影响及措施</w:t>
      </w:r>
    </w:p>
    <w:p w14:paraId="231A936C">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施工期的噪声主要来源于各种施工机械产生震动和噪声，如推土机、压路机、装载机、挖掘机、搅拌机、运输机械等。这些机械工作时在距离声源5米处的噪声可高达90～98dB，施工期噪声源将对施工人员和周围敏感点产生较为严重的影响，对于施工期环境噪声的影响在工程设计中拟采取以下措施：</w:t>
      </w:r>
    </w:p>
    <w:p w14:paraId="2950FBB8">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①设有大型机械的施工场地尽量设置在远离居民区的位置。</w:t>
      </w:r>
    </w:p>
    <w:p w14:paraId="4B0F7EEA">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②在工期安排上对产生大的噪声的施工工序，尽量不安排夜间施工。</w:t>
      </w:r>
    </w:p>
    <w:p w14:paraId="520F74DF">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2、环境空气影响及措施</w:t>
      </w:r>
    </w:p>
    <w:p w14:paraId="7BBB5B04">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施工中筑路材料的运输、装卸、拌和过程中有大量的粉尘散落到周围大气中，筑路材料堆放期间由于风吹会引起扬尘污染，尤其是在风速较大或汽车行驶速度较快的情况下，粉尘的污染更为严重。</w:t>
      </w:r>
    </w:p>
    <w:p w14:paraId="0B7A01DF">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沥青混合料在拌和及铺筑过程中会产生烟雾，对周围的大气环境产生污染。</w:t>
      </w:r>
    </w:p>
    <w:p w14:paraId="770F6C0A">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针对上述问题在设计中采取了以下措施：</w:t>
      </w:r>
    </w:p>
    <w:p w14:paraId="58C71142">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①路面拌合场地设置在远离居民区处，采用封闭式拌合设备，并采取有效的消烟除尘措施，减少有害气体的排放。</w:t>
      </w:r>
    </w:p>
    <w:p w14:paraId="409596F2">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②易于扬尘的建筑材料在运输和堆放过程中，采取可靠的遮盖措施。</w:t>
      </w:r>
    </w:p>
    <w:p w14:paraId="4C73D251">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3、水环境的影响及措施</w:t>
      </w:r>
    </w:p>
    <w:p w14:paraId="0A6428D7">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施工期水环境影响主要有施工营地生活污水、生活垃圾可能对周围水体产生一定的污染；堆放的建筑材料被雨水冲刷对周围水体的污染。</w:t>
      </w:r>
    </w:p>
    <w:p w14:paraId="6F3CA50C">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针对以上情况设计上拟采取的措施：</w:t>
      </w:r>
    </w:p>
    <w:p w14:paraId="51E99A87">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①在施工场地位置的确定中充分考虑对周围水环境的影响，尽可能远离饮用水源，以免造成对水环境的影响。</w:t>
      </w:r>
    </w:p>
    <w:p w14:paraId="33C90FC0">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②加强对机械设备的管理及建筑材料的遮挡，避免跑、冒、滴、漏及雨淋，防止对水环境的污染。</w:t>
      </w:r>
    </w:p>
    <w:p w14:paraId="14841A5E">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上述未尽事宜严格按国家、交通部现行的标准、规范、办法和吉林省交通厅的有关规定实施。</w:t>
      </w:r>
    </w:p>
    <w:p w14:paraId="49E6BE07">
      <w:pPr>
        <w:keepNext w:val="0"/>
        <w:keepLines w:val="0"/>
        <w:pageBreakBefore w:val="0"/>
        <w:kinsoku/>
        <w:wordWrap/>
        <w:overflowPunct/>
        <w:topLinePunct w:val="0"/>
        <w:autoSpaceDE/>
        <w:autoSpaceDN/>
        <w:bidi w:val="0"/>
        <w:snapToGrid/>
        <w:spacing w:line="288" w:lineRule="auto"/>
        <w:textAlignment w:val="auto"/>
        <w:rPr>
          <w:rFonts w:ascii="宋体" w:hAnsi="宋体" w:cs="宋体"/>
          <w:b/>
          <w:sz w:val="24"/>
        </w:rPr>
      </w:pPr>
      <w:r>
        <w:rPr>
          <w:rFonts w:hint="eastAsia" w:ascii="宋体" w:hAnsi="宋体" w:cs="宋体"/>
          <w:b/>
          <w:sz w:val="24"/>
          <w:lang w:val="en-US" w:eastAsia="zh-CN"/>
        </w:rPr>
        <w:t>八</w:t>
      </w:r>
      <w:r>
        <w:rPr>
          <w:rFonts w:hint="eastAsia" w:ascii="宋体" w:hAnsi="宋体" w:cs="宋体"/>
          <w:b/>
          <w:sz w:val="24"/>
        </w:rPr>
        <w:t>、其它说明</w:t>
      </w:r>
    </w:p>
    <w:p w14:paraId="0BA53100">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ascii="宋体" w:hAnsi="宋体" w:cs="宋体"/>
          <w:sz w:val="24"/>
        </w:rPr>
        <w:pict>
          <v:shape id="_x0000_s1086" o:spid="_x0000_s1086" o:spt="202" type="#_x0000_t202" style="position:absolute;left:0pt;margin-left:1000.35pt;margin-top:-42.8pt;height:54.85pt;width:81pt;z-index:251663360;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">
            <v:path/>
            <v:fill on="f" focussize="0,0"/>
            <v:stroke on="f" joinstyle="miter"/>
            <v:imagedata o:title=""/>
            <o:lock v:ext="edit"/>
            <v:textbox>
              <w:txbxContent>
                <w:p w14:paraId="7D283143">
                  <w:pPr>
                    <w:rPr>
                      <w:rFonts w:ascii="宋体" w:hAnsi="宋体"/>
                      <w:b/>
                      <w:sz w:val="32"/>
                      <w:szCs w:val="32"/>
                    </w:rPr>
                  </w:pPr>
                  <w:r>
                    <w:rPr>
                      <w:rFonts w:hint="eastAsia" w:ascii="宋体" w:hAnsi="宋体"/>
                      <w:b/>
                      <w:sz w:val="32"/>
                      <w:szCs w:val="32"/>
                    </w:rPr>
                    <w:t>009</w:t>
                  </w:r>
                </w:p>
              </w:txbxContent>
            </v:textbox>
          </v:shape>
        </w:pict>
      </w:r>
      <w:r>
        <w:rPr>
          <w:rFonts w:ascii="宋体" w:hAnsi="宋体" w:cs="宋体"/>
          <w:sz w:val="24"/>
        </w:rPr>
        <w:pict>
          <v:shape id="文本框 76" o:spid="_x0000_s1084" o:spt="202" type="#_x0000_t202" style="position:absolute;left:0pt;margin-left:1000.35pt;margin-top:-5pt;height:46.8pt;width:81pt;z-index:251662336;mso-width-relative:page;mso-height-relative:page;" filled="f" stroked="f" coordsize="21600,21600">
            <v:path/>
            <v:fill on="f" focussize="0,0"/>
            <v:stroke on="f" joinstyle="miter"/>
            <v:imagedata o:title=""/>
            <o:lock v:ext="edit"/>
            <v:textbox>
              <w:txbxContent>
                <w:p w14:paraId="773ED3B7">
                  <w:pPr>
                    <w:rPr>
                      <w:rFonts w:ascii="宋体" w:hAnsi="宋体"/>
                      <w:b/>
                      <w:sz w:val="24"/>
                    </w:rPr>
                  </w:pPr>
                  <w:r>
                    <w:rPr>
                      <w:rFonts w:hint="eastAsia" w:ascii="宋体" w:hAnsi="宋体"/>
                      <w:b/>
                      <w:sz w:val="24"/>
                    </w:rPr>
                    <w:t>S1-2</w:t>
                  </w:r>
                </w:p>
              </w:txbxContent>
            </v:textbox>
          </v:shape>
        </w:pict>
      </w:r>
      <w:r>
        <w:rPr>
          <w:rFonts w:hint="eastAsia" w:ascii="宋体" w:hAnsi="宋体" w:cs="宋体"/>
          <w:sz w:val="24"/>
        </w:rPr>
        <w:t>1、料场表中所列的料场均为推荐料场，施工前施工单位及监理应对各种材料进行试验，试验合格后方可进料，不得使用不符合要求的材料。施工期内应根据料场产量提前进行备料。</w:t>
      </w:r>
    </w:p>
    <w:p w14:paraId="5AF11659">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ascii="宋体" w:hAnsi="宋体" w:cs="宋体"/>
          <w:sz w:val="24"/>
        </w:rPr>
        <w:pict>
          <v:shape id="_x0000_s1085" o:spid="_x0000_s1085" o:spt="202" type="#_x0000_t202" style="position:absolute;left:0pt;margin-left:1000.35pt;margin-top:-42.8pt;height:54.85pt;width:81pt;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">
            <v:path/>
            <v:fill on="f" focussize="0,0"/>
            <v:stroke on="f" joinstyle="miter"/>
            <v:imagedata o:title=""/>
            <o:lock v:ext="edit"/>
            <v:textbox>
              <w:txbxContent>
                <w:p w14:paraId="04DDBED4">
                  <w:pPr>
                    <w:rPr>
                      <w:rFonts w:ascii="宋体" w:hAnsi="宋体"/>
                      <w:sz w:val="44"/>
                      <w:szCs w:val="44"/>
                    </w:rPr>
                  </w:pPr>
                </w:p>
              </w:txbxContent>
            </v:textbox>
          </v:shape>
        </w:pict>
      </w:r>
      <w:r>
        <w:rPr>
          <w:rFonts w:hint="eastAsia" w:ascii="宋体" w:hAnsi="宋体" w:cs="宋体"/>
          <w:sz w:val="24"/>
        </w:rPr>
        <w:t>2、面层拌和站中，应具备完善的排水设施。各种规格的集料应分别堆放，不得混杂；堆放集料的场地及运输材料的便道应进行硬化；运输及装载设备要洁净。雨季施工时，应采取措施保护集料，细集料(如砂、石屑等)应有防水顶棚，防止雨淋。桶装沥青应堆放整齐，并加盖苫布，防止雨水滴入。</w:t>
      </w:r>
    </w:p>
    <w:p w14:paraId="26545DD5">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3、面层之间应进行连续施工，避免表面被污染。</w:t>
      </w:r>
    </w:p>
    <w:p w14:paraId="085E9210">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4、路面施工时，如发现技术问题，应及时与设计单位或驻地监理沟通，及时解决问题。</w:t>
      </w:r>
    </w:p>
    <w:p w14:paraId="46BA8836">
      <w:pPr>
        <w:keepNext w:val="0"/>
        <w:keepLines w:val="0"/>
        <w:pageBreakBefore w:val="0"/>
        <w:kinsoku/>
        <w:wordWrap/>
        <w:overflowPunct/>
        <w:topLinePunct w:val="0"/>
        <w:autoSpaceDE/>
        <w:autoSpaceDN/>
        <w:bidi w:val="0"/>
        <w:snapToGrid/>
        <w:spacing w:line="288" w:lineRule="auto"/>
        <w:ind w:firstLine="480" w:firstLineChars="200"/>
        <w:textAlignment w:val="auto"/>
        <w:rPr>
          <w:rFonts w:ascii="宋体" w:hAnsi="宋体" w:cs="宋体"/>
          <w:sz w:val="24"/>
        </w:rPr>
      </w:pPr>
      <w:r>
        <w:rPr>
          <w:rFonts w:hint="eastAsia" w:ascii="宋体" w:hAnsi="宋体" w:cs="宋体"/>
          <w:sz w:val="24"/>
        </w:rPr>
        <w:t>5、其他未尽事宜，按相应规范标准执行。</w:t>
      </w:r>
    </w:p>
    <w:sectPr>
      <w:headerReference r:id="rId3" w:type="default"/>
      <w:footerReference r:id="rId4" w:type="default"/>
      <w:pgSz w:w="16839" w:h="11907" w:orient="landscape"/>
      <w:pgMar w:top="1418" w:right="1418" w:bottom="1418" w:left="1701" w:header="454" w:footer="1077" w:gutter="0"/>
      <w:pgBorders>
        <w:top w:val="none" w:sz="0" w:space="0"/>
        <w:left w:val="none" w:sz="0" w:space="0"/>
        <w:bottom w:val="none" w:sz="0" w:space="0"/>
        <w:right w:val="none" w:sz="0" w:space="0"/>
      </w:pgBorders>
      <w:pgNumType w:start="3" w:chapStyle="1"/>
      <w:cols w:space="136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E9A62">
    <w:pPr>
      <w:pStyle w:val="6"/>
      <w:pBdr>
        <w:top w:val="thinThickSmallGap" w:color="auto" w:sz="24" w:space="0"/>
      </w:pBdr>
      <w:jc w:val="right"/>
      <w:rPr>
        <w:rFonts w:ascii="黑体" w:hAnsi="宋体" w:eastAsia="黑体"/>
        <w:b/>
        <w:i/>
        <w:sz w:val="21"/>
        <w:szCs w:val="21"/>
      </w:rPr>
    </w:pPr>
    <w:r>
      <w:rPr>
        <w:b/>
        <w:sz w:val="24"/>
      </w:rPr>
      <w:tab/>
    </w:r>
    <w:r>
      <w:rPr>
        <w:b/>
        <w:sz w:val="24"/>
      </w:rPr>
      <w:tab/>
    </w:r>
    <w:r>
      <w:rPr>
        <w:rFonts w:hint="eastAsia" w:ascii="黑体" w:hAnsi="宋体" w:eastAsia="黑体"/>
        <w:b/>
        <w:iCs/>
        <w:sz w:val="21"/>
        <w:szCs w:val="21"/>
      </w:rPr>
      <w:t>吉林省六创工程设计咨询有限公司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E4AABD">
    <w:pPr>
      <w:jc w:val="right"/>
      <w:rPr>
        <w:rFonts w:ascii="宋体" w:hAnsi="宋体"/>
        <w:b/>
        <w:sz w:val="32"/>
        <w:szCs w:val="32"/>
      </w:rPr>
    </w:pPr>
    <w:r>
      <w:rPr>
        <w:rFonts w:ascii="宋体" w:hAnsi="宋体"/>
        <w:b/>
        <w:sz w:val="32"/>
        <w:szCs w:val="32"/>
      </w:rPr>
      <w:fldChar w:fldCharType="begin"/>
    </w:r>
    <w:r>
      <w:rPr>
        <w:rFonts w:ascii="宋体" w:hAnsi="宋体"/>
        <w:b/>
        <w:sz w:val="32"/>
        <w:szCs w:val="32"/>
      </w:rPr>
      <w:instrText xml:space="preserve">PAGE</w:instrText>
    </w:r>
    <w:r>
      <w:rPr>
        <w:rFonts w:hint="eastAsia" w:ascii="宋体" w:hAnsi="宋体"/>
        <w:b/>
        <w:sz w:val="32"/>
        <w:szCs w:val="32"/>
      </w:rPr>
      <w:instrText xml:space="preserve"> </w:instrText>
    </w:r>
    <w:r>
      <w:rPr>
        <w:rFonts w:ascii="宋体" w:hAnsi="宋体"/>
        <w:b/>
        <w:sz w:val="32"/>
        <w:szCs w:val="32"/>
      </w:rPr>
      <w:instrText xml:space="preserve">\#</w:instrText>
    </w:r>
    <w:r>
      <w:rPr>
        <w:rFonts w:hint="eastAsia" w:ascii="宋体" w:hAnsi="宋体"/>
        <w:b/>
        <w:sz w:val="32"/>
        <w:szCs w:val="32"/>
      </w:rPr>
      <w:instrText xml:space="preserve"> </w:instrText>
    </w:r>
    <w:r>
      <w:rPr>
        <w:rFonts w:ascii="宋体" w:hAnsi="宋体"/>
        <w:b/>
        <w:sz w:val="32"/>
        <w:szCs w:val="32"/>
      </w:rPr>
      <w:instrText xml:space="preserve">000</w:instrText>
    </w:r>
    <w:r>
      <w:rPr>
        <w:rFonts w:ascii="宋体" w:hAnsi="宋体"/>
        <w:b/>
        <w:sz w:val="32"/>
        <w:szCs w:val="32"/>
      </w:rPr>
      <w:fldChar w:fldCharType="separate"/>
    </w:r>
    <w:r>
      <w:rPr>
        <w:rFonts w:ascii="宋体" w:hAnsi="宋体"/>
        <w:b/>
        <w:sz w:val="32"/>
        <w:szCs w:val="32"/>
      </w:rPr>
      <w:t>005</w:t>
    </w:r>
    <w:r>
      <w:rPr>
        <w:rFonts w:ascii="宋体" w:hAnsi="宋体"/>
        <w:b/>
        <w:sz w:val="32"/>
        <w:szCs w:val="32"/>
      </w:rPr>
      <w:fldChar w:fldCharType="end"/>
    </w:r>
  </w:p>
  <w:p w14:paraId="0A2B6A2C">
    <w:pPr>
      <w:jc w:val="right"/>
      <w:rPr>
        <w:rFonts w:ascii="宋体" w:hAnsi="宋体"/>
        <w:b/>
        <w:sz w:val="24"/>
      </w:rPr>
    </w:pPr>
    <w:r>
      <w:rPr>
        <w:rFonts w:hint="eastAsia" w:ascii="宋体" w:hAnsi="宋体"/>
        <w:b/>
        <w:sz w:val="24"/>
        <w:lang w:val="en-US" w:eastAsia="zh-CN"/>
      </w:rPr>
      <w:t>C</w:t>
    </w:r>
    <w:r>
      <w:rPr>
        <w:rFonts w:hint="eastAsia" w:ascii="宋体" w:hAnsi="宋体"/>
        <w:b/>
        <w:sz w:val="24"/>
      </w:rPr>
      <w:t>1-2</w:t>
    </w:r>
  </w:p>
  <w:p w14:paraId="683BADE2">
    <w:pPr>
      <w:jc w:val="right"/>
      <w:rPr>
        <w:rFonts w:ascii="宋体" w:hAnsi="宋体"/>
        <w:b/>
        <w:sz w:val="2"/>
        <w:szCs w:val="2"/>
      </w:rPr>
    </w:pPr>
  </w:p>
  <w:p w14:paraId="7C999427">
    <w:pPr>
      <w:pStyle w:val="7"/>
      <w:pBdr>
        <w:bottom w:val="thinThickSmallGap" w:color="auto" w:sz="24" w:space="1"/>
      </w:pBdr>
      <w:jc w:val="right"/>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YwOTkxYTFhNjIzN2VjMzc2ZGY0OTg3N2Q0ZGZlN2IifQ=="/>
  </w:docVars>
  <w:rsids>
    <w:rsidRoot w:val="00332D36"/>
    <w:rsid w:val="000425CF"/>
    <w:rsid w:val="000710EF"/>
    <w:rsid w:val="00071588"/>
    <w:rsid w:val="00082F46"/>
    <w:rsid w:val="00083D7F"/>
    <w:rsid w:val="000840F8"/>
    <w:rsid w:val="00084EFA"/>
    <w:rsid w:val="000926B1"/>
    <w:rsid w:val="000A280A"/>
    <w:rsid w:val="000A4D83"/>
    <w:rsid w:val="000B4521"/>
    <w:rsid w:val="000C271A"/>
    <w:rsid w:val="000D4593"/>
    <w:rsid w:val="00105B7B"/>
    <w:rsid w:val="0010624A"/>
    <w:rsid w:val="001165D3"/>
    <w:rsid w:val="00121DF7"/>
    <w:rsid w:val="00180022"/>
    <w:rsid w:val="00186710"/>
    <w:rsid w:val="00196048"/>
    <w:rsid w:val="001A120C"/>
    <w:rsid w:val="001A460C"/>
    <w:rsid w:val="001D163A"/>
    <w:rsid w:val="001D4660"/>
    <w:rsid w:val="001D59D8"/>
    <w:rsid w:val="001E479B"/>
    <w:rsid w:val="001E58A3"/>
    <w:rsid w:val="00204607"/>
    <w:rsid w:val="00206CE1"/>
    <w:rsid w:val="0022171E"/>
    <w:rsid w:val="002415DF"/>
    <w:rsid w:val="002A1678"/>
    <w:rsid w:val="002A24E3"/>
    <w:rsid w:val="002B149A"/>
    <w:rsid w:val="002B72D4"/>
    <w:rsid w:val="002C2DB4"/>
    <w:rsid w:val="002D551F"/>
    <w:rsid w:val="002E3788"/>
    <w:rsid w:val="002E4DEA"/>
    <w:rsid w:val="002F2BA5"/>
    <w:rsid w:val="002F4207"/>
    <w:rsid w:val="002F6718"/>
    <w:rsid w:val="00306084"/>
    <w:rsid w:val="0032502F"/>
    <w:rsid w:val="00332D36"/>
    <w:rsid w:val="003417C8"/>
    <w:rsid w:val="00342008"/>
    <w:rsid w:val="00342CD5"/>
    <w:rsid w:val="00343C6A"/>
    <w:rsid w:val="00355C78"/>
    <w:rsid w:val="003A2BF5"/>
    <w:rsid w:val="003B27D7"/>
    <w:rsid w:val="003C323E"/>
    <w:rsid w:val="003D6D20"/>
    <w:rsid w:val="003E0F6B"/>
    <w:rsid w:val="003F4737"/>
    <w:rsid w:val="00407782"/>
    <w:rsid w:val="00412237"/>
    <w:rsid w:val="0042252F"/>
    <w:rsid w:val="00436648"/>
    <w:rsid w:val="00444026"/>
    <w:rsid w:val="004A72F9"/>
    <w:rsid w:val="004B3D6D"/>
    <w:rsid w:val="004B5769"/>
    <w:rsid w:val="004D38FD"/>
    <w:rsid w:val="004D66DF"/>
    <w:rsid w:val="004E17FB"/>
    <w:rsid w:val="004E7948"/>
    <w:rsid w:val="004E7E99"/>
    <w:rsid w:val="004F7F45"/>
    <w:rsid w:val="005028F9"/>
    <w:rsid w:val="005648E4"/>
    <w:rsid w:val="0057148D"/>
    <w:rsid w:val="00573C97"/>
    <w:rsid w:val="00582AC7"/>
    <w:rsid w:val="00584FE6"/>
    <w:rsid w:val="0059074F"/>
    <w:rsid w:val="00597CBA"/>
    <w:rsid w:val="005B26A8"/>
    <w:rsid w:val="005D1B85"/>
    <w:rsid w:val="005E75B2"/>
    <w:rsid w:val="005E7A44"/>
    <w:rsid w:val="005F066A"/>
    <w:rsid w:val="005F1535"/>
    <w:rsid w:val="005F5A17"/>
    <w:rsid w:val="006123C1"/>
    <w:rsid w:val="006517DF"/>
    <w:rsid w:val="0066034E"/>
    <w:rsid w:val="006615DB"/>
    <w:rsid w:val="006B204D"/>
    <w:rsid w:val="006B5B20"/>
    <w:rsid w:val="006C08F4"/>
    <w:rsid w:val="006C3435"/>
    <w:rsid w:val="006D24A2"/>
    <w:rsid w:val="006D559D"/>
    <w:rsid w:val="006E3804"/>
    <w:rsid w:val="00703D92"/>
    <w:rsid w:val="00742B16"/>
    <w:rsid w:val="007754D8"/>
    <w:rsid w:val="007965EE"/>
    <w:rsid w:val="007B7FAC"/>
    <w:rsid w:val="007D053F"/>
    <w:rsid w:val="007D154A"/>
    <w:rsid w:val="0082318E"/>
    <w:rsid w:val="00827347"/>
    <w:rsid w:val="00831996"/>
    <w:rsid w:val="00856009"/>
    <w:rsid w:val="008712E3"/>
    <w:rsid w:val="008A0266"/>
    <w:rsid w:val="008D0F27"/>
    <w:rsid w:val="008D1689"/>
    <w:rsid w:val="008E4859"/>
    <w:rsid w:val="008F7858"/>
    <w:rsid w:val="00911C3A"/>
    <w:rsid w:val="00915057"/>
    <w:rsid w:val="00920C9D"/>
    <w:rsid w:val="00932F09"/>
    <w:rsid w:val="00933335"/>
    <w:rsid w:val="00945951"/>
    <w:rsid w:val="00951679"/>
    <w:rsid w:val="009734E5"/>
    <w:rsid w:val="009770B5"/>
    <w:rsid w:val="00986CCF"/>
    <w:rsid w:val="00993082"/>
    <w:rsid w:val="00995F5C"/>
    <w:rsid w:val="009B2BA1"/>
    <w:rsid w:val="009B3E60"/>
    <w:rsid w:val="009C7140"/>
    <w:rsid w:val="009E5F31"/>
    <w:rsid w:val="009E7091"/>
    <w:rsid w:val="00A07F9C"/>
    <w:rsid w:val="00A21B86"/>
    <w:rsid w:val="00A60489"/>
    <w:rsid w:val="00A873C1"/>
    <w:rsid w:val="00AB4214"/>
    <w:rsid w:val="00AC3FAB"/>
    <w:rsid w:val="00AE2D8B"/>
    <w:rsid w:val="00AE3E14"/>
    <w:rsid w:val="00B007E1"/>
    <w:rsid w:val="00B1083F"/>
    <w:rsid w:val="00B4506F"/>
    <w:rsid w:val="00B64559"/>
    <w:rsid w:val="00B64888"/>
    <w:rsid w:val="00B949A3"/>
    <w:rsid w:val="00BA6F2C"/>
    <w:rsid w:val="00BB0BCD"/>
    <w:rsid w:val="00BB76B6"/>
    <w:rsid w:val="00BC6623"/>
    <w:rsid w:val="00BD5370"/>
    <w:rsid w:val="00BE193B"/>
    <w:rsid w:val="00BF07D7"/>
    <w:rsid w:val="00C01912"/>
    <w:rsid w:val="00C3019F"/>
    <w:rsid w:val="00C40EBF"/>
    <w:rsid w:val="00C419FB"/>
    <w:rsid w:val="00C671C8"/>
    <w:rsid w:val="00C704C6"/>
    <w:rsid w:val="00C87253"/>
    <w:rsid w:val="00CA4340"/>
    <w:rsid w:val="00CB4089"/>
    <w:rsid w:val="00CD5AE5"/>
    <w:rsid w:val="00CE27C6"/>
    <w:rsid w:val="00CF2F25"/>
    <w:rsid w:val="00D012DB"/>
    <w:rsid w:val="00D30A69"/>
    <w:rsid w:val="00D60661"/>
    <w:rsid w:val="00D66FFF"/>
    <w:rsid w:val="00D70EC5"/>
    <w:rsid w:val="00D83C39"/>
    <w:rsid w:val="00D86FDC"/>
    <w:rsid w:val="00DA2A53"/>
    <w:rsid w:val="00DA3C97"/>
    <w:rsid w:val="00DB6BBF"/>
    <w:rsid w:val="00DC07BD"/>
    <w:rsid w:val="00DE4A11"/>
    <w:rsid w:val="00DE651F"/>
    <w:rsid w:val="00E206BE"/>
    <w:rsid w:val="00E555F2"/>
    <w:rsid w:val="00E7743B"/>
    <w:rsid w:val="00E7747D"/>
    <w:rsid w:val="00E80BD8"/>
    <w:rsid w:val="00E831CB"/>
    <w:rsid w:val="00EA3399"/>
    <w:rsid w:val="00EA698D"/>
    <w:rsid w:val="00EA79E5"/>
    <w:rsid w:val="00EC7085"/>
    <w:rsid w:val="00ED7C5E"/>
    <w:rsid w:val="00EE256F"/>
    <w:rsid w:val="00EE62C4"/>
    <w:rsid w:val="00F03AF6"/>
    <w:rsid w:val="00F154C1"/>
    <w:rsid w:val="00F20F5E"/>
    <w:rsid w:val="00F256CC"/>
    <w:rsid w:val="00F27264"/>
    <w:rsid w:val="00F34C54"/>
    <w:rsid w:val="00F51532"/>
    <w:rsid w:val="00F64875"/>
    <w:rsid w:val="00F64B36"/>
    <w:rsid w:val="00F6653D"/>
    <w:rsid w:val="00F86DAD"/>
    <w:rsid w:val="00F918EE"/>
    <w:rsid w:val="00F94343"/>
    <w:rsid w:val="00FB5D54"/>
    <w:rsid w:val="00FC449F"/>
    <w:rsid w:val="00FD4FFB"/>
    <w:rsid w:val="00FF3AE8"/>
    <w:rsid w:val="0A4D2648"/>
    <w:rsid w:val="0DC61A12"/>
    <w:rsid w:val="0E7801A0"/>
    <w:rsid w:val="2CB637A9"/>
    <w:rsid w:val="335347A5"/>
    <w:rsid w:val="3E1B735B"/>
    <w:rsid w:val="45A80834"/>
    <w:rsid w:val="48B07096"/>
    <w:rsid w:val="499F62FD"/>
    <w:rsid w:val="49BD69A9"/>
    <w:rsid w:val="50600E53"/>
    <w:rsid w:val="55EB0327"/>
    <w:rsid w:val="6235388B"/>
    <w:rsid w:val="655B4744"/>
    <w:rsid w:val="6A941E18"/>
    <w:rsid w:val="72515E76"/>
    <w:rsid w:val="72BA7846"/>
    <w:rsid w:val="76360461"/>
    <w:rsid w:val="79FD1C8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5"/>
    <w:qFormat/>
    <w:uiPriority w:val="0"/>
    <w:pPr>
      <w:keepNext/>
      <w:keepLines/>
      <w:tabs>
        <w:tab w:val="left" w:pos="9000"/>
      </w:tabs>
      <w:spacing w:line="360" w:lineRule="auto"/>
      <w:ind w:left="540" w:leftChars="150" w:firstLine="632" w:firstLineChars="204"/>
      <w:outlineLvl w:val="2"/>
    </w:pPr>
    <w:rPr>
      <w:rFonts w:ascii="宋体"/>
      <w:b/>
      <w:bCs/>
      <w:sz w:val="28"/>
      <w:szCs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2"/>
    <w:unhideWhenUsed/>
    <w:qFormat/>
    <w:uiPriority w:val="0"/>
    <w:rPr>
      <w:rFonts w:ascii="宋体" w:hAnsi="Courier New" w:cs="Courier New"/>
      <w:szCs w:val="21"/>
    </w:rPr>
  </w:style>
  <w:style w:type="paragraph" w:styleId="4">
    <w:name w:val="Body Text Indent 2"/>
    <w:basedOn w:val="1"/>
    <w:link w:val="17"/>
    <w:qFormat/>
    <w:uiPriority w:val="0"/>
    <w:pPr>
      <w:spacing w:after="120" w:line="480" w:lineRule="auto"/>
      <w:ind w:left="420" w:leftChars="200"/>
    </w:pPr>
    <w:rPr>
      <w:sz w:val="28"/>
      <w:szCs w:val="20"/>
    </w:rPr>
  </w:style>
  <w:style w:type="paragraph" w:styleId="5">
    <w:name w:val="Balloon Text"/>
    <w:basedOn w:val="1"/>
    <w:link w:val="18"/>
    <w:semiHidden/>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纯文本 Char"/>
    <w:basedOn w:val="10"/>
    <w:semiHidden/>
    <w:qFormat/>
    <w:uiPriority w:val="99"/>
    <w:rPr>
      <w:rFonts w:ascii="宋体" w:hAnsi="Courier New" w:eastAsia="宋体" w:cs="Courier New"/>
      <w:szCs w:val="21"/>
    </w:rPr>
  </w:style>
  <w:style w:type="character" w:customStyle="1" w:styleId="12">
    <w:name w:val="纯文本 Char1"/>
    <w:basedOn w:val="10"/>
    <w:link w:val="3"/>
    <w:qFormat/>
    <w:locked/>
    <w:uiPriority w:val="0"/>
    <w:rPr>
      <w:rFonts w:ascii="宋体" w:hAnsi="Courier New" w:eastAsia="宋体" w:cs="Courier New"/>
      <w:szCs w:val="21"/>
    </w:rPr>
  </w:style>
  <w:style w:type="character" w:customStyle="1" w:styleId="13">
    <w:name w:val="页眉 Char"/>
    <w:basedOn w:val="10"/>
    <w:link w:val="7"/>
    <w:qFormat/>
    <w:uiPriority w:val="99"/>
    <w:rPr>
      <w:rFonts w:ascii="Times New Roman" w:hAnsi="Times New Roman" w:eastAsia="宋体" w:cs="Times New Roman"/>
      <w:sz w:val="18"/>
      <w:szCs w:val="18"/>
    </w:rPr>
  </w:style>
  <w:style w:type="character" w:customStyle="1" w:styleId="14">
    <w:name w:val="页脚 Char"/>
    <w:basedOn w:val="10"/>
    <w:link w:val="6"/>
    <w:qFormat/>
    <w:uiPriority w:val="99"/>
    <w:rPr>
      <w:rFonts w:ascii="Times New Roman" w:hAnsi="Times New Roman" w:eastAsia="宋体" w:cs="Times New Roman"/>
      <w:sz w:val="18"/>
      <w:szCs w:val="18"/>
    </w:rPr>
  </w:style>
  <w:style w:type="character" w:customStyle="1" w:styleId="15">
    <w:name w:val="标题 3 Char"/>
    <w:basedOn w:val="10"/>
    <w:link w:val="2"/>
    <w:qFormat/>
    <w:uiPriority w:val="0"/>
    <w:rPr>
      <w:rFonts w:ascii="宋体" w:hAnsi="Times New Roman" w:eastAsia="宋体" w:cs="Times New Roman"/>
      <w:b/>
      <w:bCs/>
      <w:sz w:val="28"/>
      <w:szCs w:val="28"/>
    </w:rPr>
  </w:style>
  <w:style w:type="paragraph" w:styleId="16">
    <w:name w:val="List Paragraph"/>
    <w:basedOn w:val="1"/>
    <w:qFormat/>
    <w:uiPriority w:val="34"/>
    <w:pPr>
      <w:ind w:firstLine="420" w:firstLineChars="200"/>
    </w:pPr>
  </w:style>
  <w:style w:type="character" w:customStyle="1" w:styleId="17">
    <w:name w:val="正文文本缩进 2 Char"/>
    <w:basedOn w:val="10"/>
    <w:link w:val="4"/>
    <w:qFormat/>
    <w:uiPriority w:val="0"/>
    <w:rPr>
      <w:rFonts w:ascii="Times New Roman" w:hAnsi="Times New Roman" w:eastAsia="宋体" w:cs="Times New Roman"/>
      <w:sz w:val="28"/>
      <w:szCs w:val="20"/>
    </w:rPr>
  </w:style>
  <w:style w:type="character" w:customStyle="1" w:styleId="18">
    <w:name w:val="批注框文本 Char"/>
    <w:basedOn w:val="10"/>
    <w:link w:val="5"/>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80"/>
    <customShpInfo spid="_x0000_s1082"/>
    <customShpInfo spid="_x0000_s1083"/>
    <customShpInfo spid="_x0000_s1087"/>
    <customShpInfo spid="_x0000_s1086"/>
    <customShpInfo spid="_x0000_s1084"/>
    <customShpInfo spid="_x0000_s108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4020</Words>
  <Characters>4813</Characters>
  <Lines>120</Lines>
  <Paragraphs>33</Paragraphs>
  <TotalTime>8</TotalTime>
  <ScaleCrop>false</ScaleCrop>
  <LinksUpToDate>false</LinksUpToDate>
  <CharactersWithSpaces>4860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2020-08-12T01:25:00Z</dcterms:created>
  <dc:creator>清风随意</dc:creator>
  <cp:lastModifiedBy>Sunshine</cp:lastModifiedBy>
  <cp:lastPrinted>2025-01-20T05:06:55Z</cp:lastPrinted>
  <dcterms:modified xsi:type="dcterms:W3CDTF">2025-01-20T05:07:50Z</dcterms:modified>
  <cp:revision>172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6F327E6E3FCD449D8F30BB88EF014389</vt:lpwstr>
  </property>
  <property fmtid="{D5CDD505-2E9C-101B-9397-08002B2CF9AE}" pid="4" name="KSOTemplateDocerSaveRecord">
    <vt:lpwstr>eyJoZGlkIjoiYzVlZWY3MTY2MjVlOTczNmVlZmU2OWM0MzY4YTFhZDAiLCJ1c2VySWQiOiIxMDU3MjUxOTU2In0=</vt:lpwstr>
  </property>
</Properties>
</file>